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B60D" w14:textId="77777777" w:rsidR="00E038AC" w:rsidRDefault="00E038AC" w:rsidP="00612C3A">
      <w:pPr>
        <w:pStyle w:val="Heading1"/>
        <w:spacing w:before="0"/>
      </w:pPr>
      <w:bookmarkStart w:id="0" w:name="_GoBack"/>
      <w:bookmarkEnd w:id="0"/>
    </w:p>
    <w:p w14:paraId="4C3E4F61" w14:textId="0D7811F6" w:rsidR="00E038AC" w:rsidRDefault="00612C3A" w:rsidP="00612C3A">
      <w:pPr>
        <w:pStyle w:val="Heading1"/>
        <w:spacing w:before="0"/>
      </w:pPr>
      <w:r w:rsidRPr="00612C3A">
        <w:t xml:space="preserve">PRILOG </w:t>
      </w:r>
      <w:r w:rsidR="00E038AC">
        <w:t>4</w:t>
      </w:r>
    </w:p>
    <w:p w14:paraId="6820B6BB" w14:textId="3D35E697" w:rsidR="00570BE2" w:rsidRDefault="00096E32" w:rsidP="00612C3A">
      <w:pPr>
        <w:pStyle w:val="Heading1"/>
        <w:spacing w:before="0"/>
      </w:pPr>
      <w:r>
        <w:t>Popis ključnih podataka i i</w:t>
      </w:r>
      <w:r w:rsidR="00612C3A" w:rsidRPr="00612C3A">
        <w:t>zvori podataka</w:t>
      </w:r>
    </w:p>
    <w:p w14:paraId="57DC0ED6" w14:textId="77777777" w:rsidR="00E038AC" w:rsidRPr="00E038AC" w:rsidRDefault="00E038AC" w:rsidP="00E038AC"/>
    <w:p w14:paraId="514C45F4" w14:textId="30CFB31C" w:rsidR="0042195C" w:rsidRPr="0042195C" w:rsidRDefault="0042195C" w:rsidP="00E038AC">
      <w:pPr>
        <w:pStyle w:val="Subtitle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42195C">
        <w:t>Referentni inventar emisija – BEI</w:t>
      </w:r>
    </w:p>
    <w:p w14:paraId="358F7BC1" w14:textId="1B241A4A" w:rsidR="0042195C" w:rsidRPr="0042195C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Referenti inventar emisija CO</w:t>
      </w:r>
      <w:r w:rsidRPr="0042195C">
        <w:rPr>
          <w:rFonts w:ascii="Calibri" w:hAnsi="Calibri" w:cs="Arial"/>
          <w:sz w:val="22"/>
          <w:szCs w:val="22"/>
          <w:vertAlign w:val="subscript"/>
          <w:lang w:val="hr-HR"/>
        </w:rPr>
        <w:t>2</w:t>
      </w:r>
      <w:r>
        <w:rPr>
          <w:rFonts w:ascii="Calibri" w:hAnsi="Calibri" w:cs="Arial"/>
          <w:sz w:val="22"/>
          <w:szCs w:val="22"/>
          <w:lang w:val="hr-HR"/>
        </w:rPr>
        <w:t xml:space="preserve"> izrađen je za referentnu godinu 2008. prilikom izrade SEAP-a Grada Zagreba u 2010. godini.</w:t>
      </w:r>
    </w:p>
    <w:p w14:paraId="518CCF6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5C8B68E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 xml:space="preserve">Prema rezultatima provedenih energetskih analiza </w:t>
      </w:r>
      <w:r w:rsidRPr="0042195C">
        <w:rPr>
          <w:rFonts w:ascii="Calibri" w:hAnsi="Calibri" w:cs="Arial"/>
          <w:sz w:val="22"/>
          <w:szCs w:val="22"/>
          <w:lang w:val="hr-HR"/>
        </w:rPr>
        <w:t>određeni su</w:t>
      </w:r>
      <w:r w:rsidRPr="008D2FF8">
        <w:rPr>
          <w:rFonts w:ascii="Calibri" w:hAnsi="Calibri" w:cs="Arial"/>
          <w:color w:val="FF0000"/>
          <w:sz w:val="22"/>
          <w:szCs w:val="22"/>
          <w:lang w:val="hr-HR"/>
        </w:rPr>
        <w:t xml:space="preserve"> </w:t>
      </w:r>
      <w:r w:rsidRPr="008D2FF8">
        <w:rPr>
          <w:rFonts w:ascii="Calibri" w:hAnsi="Calibri" w:cs="Arial"/>
          <w:sz w:val="22"/>
          <w:szCs w:val="22"/>
          <w:lang w:val="hr-HR"/>
        </w:rPr>
        <w:t xml:space="preserve">prioritetni sektori djelovanja kojima je potrebno posvetiti posebnu pažnju u čitavom Procesu izrade, provedbe i praćenja Akcijskog plana. </w:t>
      </w:r>
    </w:p>
    <w:p w14:paraId="6B43BB22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206EEC0F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Temeljem podjele na sektore i podsektore, prikupljaju se podaci temeljem kojih se izrađuju izračuni referentne godine te modeliraju scenariji.</w:t>
      </w:r>
    </w:p>
    <w:p w14:paraId="5A62B3B8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1795837F" w14:textId="6B5369C6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 xml:space="preserve">Prvi korak u procesu prikupljanja kvalitetnih podataka o energetskoj situaciji i potrošnji energije za referentnu godinu </w:t>
      </w:r>
      <w:r w:rsidRPr="0042195C">
        <w:rPr>
          <w:rFonts w:ascii="Calibri" w:hAnsi="Calibri" w:cs="Arial"/>
          <w:sz w:val="22"/>
          <w:szCs w:val="22"/>
          <w:lang w:val="hr-HR"/>
        </w:rPr>
        <w:t>bila j</w:t>
      </w:r>
      <w:r w:rsidR="009F710D">
        <w:rPr>
          <w:rFonts w:ascii="Calibri" w:hAnsi="Calibri" w:cs="Arial"/>
          <w:sz w:val="22"/>
          <w:szCs w:val="22"/>
          <w:lang w:val="hr-HR"/>
        </w:rPr>
        <w:t xml:space="preserve">e </w:t>
      </w:r>
      <w:r w:rsidRPr="008D2FF8">
        <w:rPr>
          <w:rFonts w:ascii="Calibri" w:hAnsi="Calibri" w:cs="Arial"/>
          <w:sz w:val="22"/>
          <w:szCs w:val="22"/>
          <w:lang w:val="hr-HR"/>
        </w:rPr>
        <w:t>klasifikacija sektora energetske potrošnje u Zagrebu. U skladu s preporukama Europske komisije, sektori energetske potrošnje Grada podijeljeni su na tri osnovna sektora:</w:t>
      </w:r>
    </w:p>
    <w:p w14:paraId="5DE256F5" w14:textId="77777777" w:rsidR="0042195C" w:rsidRPr="008D2FF8" w:rsidRDefault="0042195C" w:rsidP="0042195C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Zgradarstvo;</w:t>
      </w:r>
    </w:p>
    <w:p w14:paraId="4F2EDB35" w14:textId="77777777" w:rsidR="0042195C" w:rsidRPr="008D2FF8" w:rsidRDefault="0042195C" w:rsidP="0042195C">
      <w:pPr>
        <w:pStyle w:val="Obinitekst1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Promet;</w:t>
      </w:r>
    </w:p>
    <w:p w14:paraId="539C50CD" w14:textId="77777777" w:rsidR="0042195C" w:rsidRPr="008D2FF8" w:rsidRDefault="0042195C" w:rsidP="0042195C">
      <w:pPr>
        <w:pStyle w:val="Obinitekst1"/>
        <w:numPr>
          <w:ilvl w:val="0"/>
          <w:numId w:val="7"/>
        </w:numPr>
        <w:jc w:val="both"/>
        <w:rPr>
          <w:rFonts w:cs="Arial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Javna rasvjeta.</w:t>
      </w:r>
    </w:p>
    <w:p w14:paraId="2ED4AC6E" w14:textId="77777777" w:rsidR="0042195C" w:rsidRPr="008D2FF8" w:rsidRDefault="0042195C" w:rsidP="0042195C">
      <w:pPr>
        <w:pStyle w:val="Obinitekst1"/>
        <w:ind w:left="720"/>
        <w:jc w:val="both"/>
        <w:rPr>
          <w:rFonts w:cs="Arial"/>
          <w:lang w:val="hr-HR"/>
        </w:rPr>
      </w:pPr>
    </w:p>
    <w:p w14:paraId="2FE7B747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Sektor zgradarstva se dijeli na sljedeća tri podsektora:</w:t>
      </w:r>
    </w:p>
    <w:p w14:paraId="676EE4EC" w14:textId="77777777" w:rsidR="0042195C" w:rsidRPr="008D2FF8" w:rsidRDefault="0042195C" w:rsidP="0042195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8D2FF8">
        <w:rPr>
          <w:rFonts w:cs="Arial"/>
        </w:rPr>
        <w:t xml:space="preserve">Zgrade stambene i javne namjene te poduzeća u vlasništvu Grada Zagreba;  </w:t>
      </w:r>
    </w:p>
    <w:p w14:paraId="2451328A" w14:textId="77777777" w:rsidR="0042195C" w:rsidRPr="008D2FF8" w:rsidRDefault="0042195C" w:rsidP="0042195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8D2FF8">
        <w:rPr>
          <w:rFonts w:cs="Arial"/>
        </w:rPr>
        <w:t xml:space="preserve">Zgrade komercijalnih i uslužnih djelatnosti koje nisu u vlasništvu Grada Zagreba; </w:t>
      </w:r>
    </w:p>
    <w:p w14:paraId="5A0C94D3" w14:textId="77777777" w:rsidR="0042195C" w:rsidRPr="008D2FF8" w:rsidRDefault="0042195C" w:rsidP="0042195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8D2FF8">
        <w:rPr>
          <w:rFonts w:cs="Arial"/>
        </w:rPr>
        <w:t>Stambene zgrade (bez stambenih zgrada u vlasništvu Grada Zagreba).</w:t>
      </w:r>
    </w:p>
    <w:p w14:paraId="2FB64170" w14:textId="77777777" w:rsidR="0042195C" w:rsidRPr="008D2FF8" w:rsidRDefault="0042195C" w:rsidP="0042195C">
      <w:pPr>
        <w:pStyle w:val="NoSpacing"/>
        <w:rPr>
          <w:rFonts w:cs="Arial"/>
        </w:rPr>
      </w:pPr>
    </w:p>
    <w:p w14:paraId="7DF936E8" w14:textId="77777777" w:rsidR="0042195C" w:rsidRPr="008D2FF8" w:rsidRDefault="0042195C" w:rsidP="0042195C">
      <w:pPr>
        <w:pStyle w:val="NoSpacing"/>
        <w:rPr>
          <w:rFonts w:cs="Arial"/>
        </w:rPr>
      </w:pPr>
      <w:r w:rsidRPr="008D2FF8">
        <w:rPr>
          <w:rFonts w:cs="Arial"/>
        </w:rPr>
        <w:t>Sektor prometa sadrži tri podsektora:</w:t>
      </w:r>
    </w:p>
    <w:p w14:paraId="5CBC5E96" w14:textId="77777777" w:rsidR="0042195C" w:rsidRPr="008D2FF8" w:rsidRDefault="0042195C" w:rsidP="0042195C">
      <w:pPr>
        <w:pStyle w:val="NoSpacing"/>
        <w:numPr>
          <w:ilvl w:val="0"/>
          <w:numId w:val="8"/>
        </w:numPr>
        <w:rPr>
          <w:rFonts w:cs="Arial"/>
        </w:rPr>
      </w:pPr>
      <w:r w:rsidRPr="008D2FF8">
        <w:rPr>
          <w:rFonts w:cs="Arial"/>
        </w:rPr>
        <w:t>Vozni park u vlasništvu Grada Zagreba;</w:t>
      </w:r>
    </w:p>
    <w:p w14:paraId="41858785" w14:textId="77777777" w:rsidR="0042195C" w:rsidRPr="008D2FF8" w:rsidRDefault="0042195C" w:rsidP="0042195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8D2FF8">
        <w:rPr>
          <w:rFonts w:cs="Arial"/>
        </w:rPr>
        <w:t>Javni prijevoz na području Grada Zagreba;</w:t>
      </w:r>
    </w:p>
    <w:p w14:paraId="3AACC9CA" w14:textId="77777777" w:rsidR="0042195C" w:rsidRPr="008D2FF8" w:rsidRDefault="0042195C" w:rsidP="0042195C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8D2FF8">
        <w:rPr>
          <w:rFonts w:cs="Arial"/>
        </w:rPr>
        <w:t>Osobna i komercijalna vozila.</w:t>
      </w:r>
    </w:p>
    <w:p w14:paraId="11C6275F" w14:textId="77777777" w:rsidR="0042195C" w:rsidRPr="008D2FF8" w:rsidRDefault="0042195C" w:rsidP="0042195C">
      <w:pPr>
        <w:spacing w:after="0" w:line="240" w:lineRule="auto"/>
        <w:rPr>
          <w:rFonts w:cs="Arial"/>
        </w:rPr>
      </w:pPr>
    </w:p>
    <w:p w14:paraId="79E12AF2" w14:textId="77777777" w:rsidR="0042195C" w:rsidRPr="008D2FF8" w:rsidRDefault="0042195C" w:rsidP="0042195C">
      <w:pPr>
        <w:pStyle w:val="NoSpacing"/>
        <w:rPr>
          <w:rFonts w:cs="Arial"/>
        </w:rPr>
      </w:pPr>
      <w:r w:rsidRPr="008D2FF8">
        <w:rPr>
          <w:rFonts w:cs="Arial"/>
        </w:rPr>
        <w:t>Sektor javne rasvjete čine :</w:t>
      </w:r>
    </w:p>
    <w:p w14:paraId="4E397209" w14:textId="77777777" w:rsidR="0042195C" w:rsidRPr="008D2FF8" w:rsidRDefault="0042195C" w:rsidP="0042195C">
      <w:pPr>
        <w:pStyle w:val="NoSpacing"/>
        <w:numPr>
          <w:ilvl w:val="0"/>
          <w:numId w:val="13"/>
        </w:numPr>
        <w:rPr>
          <w:rFonts w:cs="Arial"/>
        </w:rPr>
      </w:pPr>
      <w:r w:rsidRPr="008D2FF8">
        <w:rPr>
          <w:rFonts w:cs="Arial"/>
        </w:rPr>
        <w:t>Električna mreža javne rasvjete na području Grada;</w:t>
      </w:r>
    </w:p>
    <w:p w14:paraId="0CD8A14F" w14:textId="77777777" w:rsidR="0042195C" w:rsidRPr="008D2FF8" w:rsidRDefault="0042195C" w:rsidP="0042195C">
      <w:pPr>
        <w:pStyle w:val="NoSpacing"/>
        <w:numPr>
          <w:ilvl w:val="0"/>
          <w:numId w:val="13"/>
        </w:numPr>
        <w:rPr>
          <w:rFonts w:cs="Arial"/>
        </w:rPr>
      </w:pPr>
      <w:r w:rsidRPr="008D2FF8">
        <w:rPr>
          <w:rFonts w:cs="Arial"/>
        </w:rPr>
        <w:t>Plinska mreža javne rasvjete na području Grada.</w:t>
      </w:r>
    </w:p>
    <w:p w14:paraId="6DB10599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57EBB89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8D2FF8">
        <w:rPr>
          <w:rFonts w:ascii="Calibri" w:hAnsi="Calibri" w:cs="Arial"/>
          <w:b/>
          <w:sz w:val="22"/>
          <w:szCs w:val="22"/>
          <w:lang w:val="hr-HR"/>
        </w:rPr>
        <w:t>Podatci vezani uz zgradarstvo</w:t>
      </w:r>
    </w:p>
    <w:p w14:paraId="0914D318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7EF3049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 xml:space="preserve">Za sve podsektore u zgradarstvu Grada Zagreba, za 2008. godinu </w:t>
      </w:r>
      <w:r w:rsidRPr="0042195C">
        <w:rPr>
          <w:rFonts w:ascii="Calibri" w:hAnsi="Calibri" w:cs="Arial"/>
          <w:sz w:val="22"/>
          <w:szCs w:val="22"/>
          <w:lang w:val="hr-HR"/>
        </w:rPr>
        <w:t xml:space="preserve">prikupljeni su </w:t>
      </w:r>
      <w:r w:rsidRPr="008D2FF8">
        <w:rPr>
          <w:rFonts w:ascii="Calibri" w:hAnsi="Calibri" w:cs="Arial"/>
          <w:sz w:val="22"/>
          <w:szCs w:val="22"/>
          <w:lang w:val="hr-HR"/>
        </w:rPr>
        <w:t>podatci o:</w:t>
      </w:r>
    </w:p>
    <w:p w14:paraId="4C0378D5" w14:textId="77777777" w:rsidR="0042195C" w:rsidRPr="008D2FF8" w:rsidRDefault="0042195C" w:rsidP="0042195C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Broju i karakteristikama građevina;</w:t>
      </w:r>
    </w:p>
    <w:p w14:paraId="3C3F5FEA" w14:textId="77777777" w:rsidR="0042195C" w:rsidRPr="008D2FF8" w:rsidRDefault="0042195C" w:rsidP="0042195C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Potrošnji električne energije;</w:t>
      </w:r>
    </w:p>
    <w:p w14:paraId="664F7A5C" w14:textId="77777777" w:rsidR="0042195C" w:rsidRPr="008D2FF8" w:rsidRDefault="0042195C" w:rsidP="0042195C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Potrošnji toplinske energije iz centraliziranog toplinskog sustava;</w:t>
      </w:r>
    </w:p>
    <w:p w14:paraId="1215F9E9" w14:textId="77777777" w:rsidR="0042195C" w:rsidRPr="008D2FF8" w:rsidRDefault="0042195C" w:rsidP="0042195C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Potrošnji toplinske energije iz posebnih toplana;</w:t>
      </w:r>
    </w:p>
    <w:p w14:paraId="702114FE" w14:textId="77777777" w:rsidR="0042195C" w:rsidRPr="008D2FF8" w:rsidRDefault="0042195C" w:rsidP="0042195C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Potrošnji drugih energenata za grijanje (plin, lož ulje, ogrjevno drvo, i drugi).</w:t>
      </w:r>
    </w:p>
    <w:p w14:paraId="402F3AB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6EEBCA8D" w14:textId="77777777" w:rsidR="0042195C" w:rsidRPr="008D2FF8" w:rsidRDefault="0042195C" w:rsidP="0042195C">
      <w:pPr>
        <w:pStyle w:val="NoSpacing"/>
      </w:pPr>
      <w:r w:rsidRPr="008D2FF8">
        <w:t>Na temelju prikupljenih podataka,  za sve podsektore zgradarstva Grada Zagre</w:t>
      </w:r>
      <w:r w:rsidRPr="0042195C">
        <w:rPr>
          <w:rFonts w:eastAsia="Times New Roman" w:cs="Arial"/>
        </w:rPr>
        <w:t>ba sagledani su</w:t>
      </w:r>
      <w:r w:rsidRPr="008D2FF8">
        <w:t xml:space="preserve"> sljedeći </w:t>
      </w:r>
      <w:r w:rsidRPr="008D2FF8">
        <w:rPr>
          <w:b/>
        </w:rPr>
        <w:t>parametri</w:t>
      </w:r>
      <w:r w:rsidRPr="008D2FF8">
        <w:t>:</w:t>
      </w:r>
    </w:p>
    <w:p w14:paraId="66C68825" w14:textId="1293CD66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lastRenderedPageBreak/>
        <w:t>opći podaci o podsektoru;</w:t>
      </w:r>
    </w:p>
    <w:p w14:paraId="6961D645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ukupna površina podsektora (m</w:t>
      </w:r>
      <w:r w:rsidRPr="008D2FF8">
        <w:rPr>
          <w:vertAlign w:val="superscript"/>
        </w:rPr>
        <w:t>2</w:t>
      </w:r>
      <w:r w:rsidRPr="008D2FF8">
        <w:t>);</w:t>
      </w:r>
    </w:p>
    <w:p w14:paraId="6966054F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broj objekata podsektora;</w:t>
      </w:r>
    </w:p>
    <w:p w14:paraId="09E6854A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ukupna potrošnja električne energije podsektora (kWh);</w:t>
      </w:r>
    </w:p>
    <w:p w14:paraId="6B941656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specifična potrošnja električne energije podsektora (kWh/m</w:t>
      </w:r>
      <w:r w:rsidRPr="008D2FF8">
        <w:rPr>
          <w:vertAlign w:val="superscript"/>
        </w:rPr>
        <w:t>2</w:t>
      </w:r>
      <w:r w:rsidRPr="008D2FF8">
        <w:t>);</w:t>
      </w:r>
    </w:p>
    <w:p w14:paraId="2B29D2C3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potrošnja toplinske energije podsektora iz centraliziranog toplinskog sustava (CTS) HEP Toplinarstvo d.o.o. (MWh);</w:t>
      </w:r>
    </w:p>
    <w:p w14:paraId="7E873D81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specifična potrošnja toplinske energije iz centraliziranog toplinskog sustava (kWh/m</w:t>
      </w:r>
      <w:r w:rsidRPr="008D2FF8">
        <w:rPr>
          <w:vertAlign w:val="superscript"/>
        </w:rPr>
        <w:t>2</w:t>
      </w:r>
      <w:r w:rsidRPr="008D2FF8">
        <w:t>);</w:t>
      </w:r>
    </w:p>
    <w:p w14:paraId="254F86AF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ukupna potrošnja prirodnog plina (m</w:t>
      </w:r>
      <w:r w:rsidRPr="008D2FF8">
        <w:rPr>
          <w:vertAlign w:val="superscript"/>
        </w:rPr>
        <w:t>3</w:t>
      </w:r>
      <w:r w:rsidRPr="008D2FF8">
        <w:t>);</w:t>
      </w:r>
    </w:p>
    <w:p w14:paraId="76EEB51F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specifična potrošnja prirodnog plina podsektora;</w:t>
      </w:r>
    </w:p>
    <w:p w14:paraId="3EA76664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ukupna potrošnja lož ulja podsektora;</w:t>
      </w:r>
    </w:p>
    <w:p w14:paraId="370FD52F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specifična potrošnja lož ulja podsektora;</w:t>
      </w:r>
    </w:p>
    <w:p w14:paraId="75723128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ukupna potrošnja toplinske energije podsektora (MWh);</w:t>
      </w:r>
    </w:p>
    <w:p w14:paraId="38D4B781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specifična potrošnja toplinske energije podsektora (kWh/m</w:t>
      </w:r>
      <w:r w:rsidRPr="008D2FF8">
        <w:rPr>
          <w:vertAlign w:val="superscript"/>
        </w:rPr>
        <w:t>2</w:t>
      </w:r>
      <w:r w:rsidRPr="008D2FF8">
        <w:t>).</w:t>
      </w:r>
    </w:p>
    <w:p w14:paraId="53909FF6" w14:textId="77777777" w:rsidR="0042195C" w:rsidRPr="008D2FF8" w:rsidRDefault="0042195C" w:rsidP="0042195C">
      <w:pPr>
        <w:pStyle w:val="NoSpacing"/>
      </w:pPr>
    </w:p>
    <w:p w14:paraId="6E5580DF" w14:textId="77777777" w:rsidR="0042195C" w:rsidRPr="008D2FF8" w:rsidRDefault="0042195C" w:rsidP="0042195C">
      <w:pPr>
        <w:pStyle w:val="NoSpacing"/>
      </w:pPr>
      <w:r w:rsidRPr="008D2FF8">
        <w:t>U ovisnosti o pouzdanosti, prikupljeni su podaci podijeljeni u 3 kategorije:</w:t>
      </w:r>
    </w:p>
    <w:p w14:paraId="613DE96A" w14:textId="77777777" w:rsidR="0042195C" w:rsidRPr="008D2FF8" w:rsidRDefault="0042195C" w:rsidP="0042195C">
      <w:pPr>
        <w:pStyle w:val="NoSpacing"/>
        <w:numPr>
          <w:ilvl w:val="0"/>
          <w:numId w:val="11"/>
        </w:numPr>
      </w:pPr>
      <w:r w:rsidRPr="008D2FF8">
        <w:rPr>
          <w:i/>
        </w:rPr>
        <w:t>potpuno pouzdani podaci</w:t>
      </w:r>
      <w:r w:rsidRPr="008D2FF8">
        <w:t xml:space="preserve"> – podaci dobiveni prikupljanjem računa za objekte pojedine potkategorije (uzorak obuhvaća minimalno 90% ukupnog broja podataka cjelokupne kategorije ) ili istovjetni podaci prikupljeni iz minimalno 2 različita izvora koji se poklapaju s točnošću većom od 90%;</w:t>
      </w:r>
    </w:p>
    <w:p w14:paraId="1F3071D5" w14:textId="77777777" w:rsidR="0042195C" w:rsidRPr="008D2FF8" w:rsidRDefault="0042195C" w:rsidP="0042195C">
      <w:pPr>
        <w:pStyle w:val="NoSpacing"/>
        <w:numPr>
          <w:ilvl w:val="0"/>
          <w:numId w:val="11"/>
        </w:numPr>
        <w:shd w:val="clear" w:color="auto" w:fill="FFFFFF"/>
      </w:pPr>
      <w:r w:rsidRPr="008D2FF8">
        <w:rPr>
          <w:i/>
        </w:rPr>
        <w:t>pouzdani podaci</w:t>
      </w:r>
      <w:r w:rsidRPr="008D2FF8">
        <w:t xml:space="preserve"> - podaci izvedeni na temelju reprezentativnog uzorka dobivenog prikupljanjem računa (uzorak obuhvaća minimalno 70% ukupnog broja podataka cjelokupne kategorije )</w:t>
      </w:r>
    </w:p>
    <w:p w14:paraId="208BC88E" w14:textId="77777777" w:rsidR="0042195C" w:rsidRPr="008D2FF8" w:rsidRDefault="0042195C" w:rsidP="0042195C">
      <w:pPr>
        <w:pStyle w:val="NoSpacing"/>
        <w:numPr>
          <w:ilvl w:val="0"/>
          <w:numId w:val="11"/>
        </w:numPr>
        <w:shd w:val="clear" w:color="auto" w:fill="FFFFFF"/>
      </w:pPr>
      <w:r w:rsidRPr="008D2FF8">
        <w:rPr>
          <w:i/>
        </w:rPr>
        <w:t>procijenjeni podaci</w:t>
      </w:r>
      <w:r w:rsidRPr="008D2FF8">
        <w:t xml:space="preserve"> (u nedostatku potrebnih podataka oni su procijenjeni raznim iskustvenim metodama i/ili izvedeni odnosno proračunati iz postojećih podataka).</w:t>
      </w:r>
    </w:p>
    <w:p w14:paraId="2D99B0B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7C1C96F2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8D2FF8">
        <w:rPr>
          <w:rFonts w:ascii="Calibri" w:hAnsi="Calibri" w:cs="Arial"/>
          <w:b/>
          <w:sz w:val="22"/>
          <w:szCs w:val="22"/>
          <w:lang w:val="hr-HR"/>
        </w:rPr>
        <w:t>Podatci vezani uz promet</w:t>
      </w:r>
    </w:p>
    <w:p w14:paraId="6FD7AC89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4002EFE4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Potrebni podaci za analizu energetske potrošnje prometa u Gradu Zagrebu u 2008. Godini</w:t>
      </w:r>
      <w:r w:rsidRPr="00323E4C">
        <w:rPr>
          <w:rFonts w:ascii="Calibri" w:hAnsi="Calibri" w:cs="Arial"/>
          <w:sz w:val="22"/>
          <w:szCs w:val="22"/>
          <w:lang w:val="hr-HR"/>
        </w:rPr>
        <w:t xml:space="preserve"> bili </w:t>
      </w:r>
      <w:r w:rsidRPr="008D2FF8">
        <w:rPr>
          <w:rFonts w:ascii="Calibri" w:hAnsi="Calibri" w:cs="Arial"/>
          <w:sz w:val="22"/>
          <w:szCs w:val="22"/>
          <w:lang w:val="hr-HR"/>
        </w:rPr>
        <w:t>su:</w:t>
      </w:r>
    </w:p>
    <w:p w14:paraId="4BB9DBDD" w14:textId="77777777" w:rsidR="0042195C" w:rsidRPr="008D2FF8" w:rsidRDefault="0042195C" w:rsidP="0042195C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Struktura voznog parka u vlasništvu Grada Zagreba prema korištenom gorivu;</w:t>
      </w:r>
    </w:p>
    <w:p w14:paraId="3434858D" w14:textId="77777777" w:rsidR="0042195C" w:rsidRPr="008D2FF8" w:rsidRDefault="0042195C" w:rsidP="0042195C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Struktura i karakteristike javnog prijevoza na području Grada Zagreba;</w:t>
      </w:r>
    </w:p>
    <w:p w14:paraId="5DF44B03" w14:textId="77777777" w:rsidR="0042195C" w:rsidRPr="008D2FF8" w:rsidRDefault="0042195C" w:rsidP="0042195C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Broj i struktura registriranih osobnih i kombiniranih vozila;</w:t>
      </w:r>
    </w:p>
    <w:p w14:paraId="7FEE954B" w14:textId="77777777" w:rsidR="0042195C" w:rsidRPr="008D2FF8" w:rsidRDefault="0042195C" w:rsidP="0042195C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Potrošnja raznih vrsta goriva voznog parka u vlasništvu Grada Zagreba;</w:t>
      </w:r>
    </w:p>
    <w:p w14:paraId="7EE24AF7" w14:textId="77777777" w:rsidR="0042195C" w:rsidRPr="008D2FF8" w:rsidRDefault="0042195C" w:rsidP="0042195C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Potrošnja električne energije Zagrebačkog električnog tramvaja;</w:t>
      </w:r>
    </w:p>
    <w:p w14:paraId="4A62D526" w14:textId="77777777" w:rsidR="0042195C" w:rsidRPr="008D2FF8" w:rsidRDefault="0042195C" w:rsidP="0042195C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Podjela i potrošnja raznih vrsta goriva za autobusni prijevoz na području Grada Zagreba.</w:t>
      </w:r>
    </w:p>
    <w:p w14:paraId="4C97F08A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7BF3C0E3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Na osnovu broja i strukture registriranih osobnih i kombiniranih vozila procijenjena je prijeđen ukupni broj kilometara i pripadajuća potrošnja raznih vrsta goriva.</w:t>
      </w:r>
    </w:p>
    <w:p w14:paraId="513BADBD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79850D70" w14:textId="77777777" w:rsidR="0042195C" w:rsidRPr="008D2FF8" w:rsidRDefault="0042195C" w:rsidP="0042195C">
      <w:pPr>
        <w:pStyle w:val="NoSpacing"/>
      </w:pPr>
      <w:r w:rsidRPr="008D2FF8">
        <w:t xml:space="preserve">Na temelju prikupljenih podataka, za sve podsektore prometa Grada Zagreba određeni su sljedeći </w:t>
      </w:r>
      <w:r w:rsidRPr="008D2FF8">
        <w:rPr>
          <w:b/>
        </w:rPr>
        <w:t>parametri</w:t>
      </w:r>
      <w:r w:rsidRPr="008D2FF8">
        <w:t>:</w:t>
      </w:r>
    </w:p>
    <w:p w14:paraId="00618378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Opći podaci o podsektoru;</w:t>
      </w:r>
    </w:p>
    <w:p w14:paraId="37FD36C9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 xml:space="preserve">Struktura voznog parka </w:t>
      </w:r>
      <w:r w:rsidRPr="008D2FF8">
        <w:rPr>
          <w:rFonts w:cs="Arial"/>
        </w:rPr>
        <w:t>prema namjeni vozila</w:t>
      </w:r>
      <w:r w:rsidRPr="008D2FF8">
        <w:t>;</w:t>
      </w:r>
    </w:p>
    <w:p w14:paraId="082B8C99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Klasifikacija vozila prema vrsti korištenog goriva;</w:t>
      </w:r>
    </w:p>
    <w:p w14:paraId="470BA7C2" w14:textId="1D8FA6C8" w:rsidR="0042195C" w:rsidRPr="00A50F1B" w:rsidRDefault="0042195C" w:rsidP="0042195C">
      <w:pPr>
        <w:pStyle w:val="NoSpacing"/>
        <w:numPr>
          <w:ilvl w:val="0"/>
          <w:numId w:val="9"/>
        </w:numPr>
      </w:pPr>
      <w:r w:rsidRPr="008D2FF8">
        <w:t>Potrošnja raznih vrsta goriva po podsektoru.</w:t>
      </w:r>
    </w:p>
    <w:p w14:paraId="252F8D21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14:paraId="2C45E1B0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8D2FF8">
        <w:rPr>
          <w:rFonts w:ascii="Calibri" w:hAnsi="Calibri" w:cs="Arial"/>
          <w:b/>
          <w:sz w:val="22"/>
          <w:szCs w:val="22"/>
          <w:lang w:val="hr-HR"/>
        </w:rPr>
        <w:t>Podatci vezani uz javnu rasvjetu</w:t>
      </w:r>
    </w:p>
    <w:p w14:paraId="0FEFE758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018ADC9C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Potrebni podaci za analizu potrošnje energije u javnoj rasvjeti Grada Zagreba su:</w:t>
      </w:r>
    </w:p>
    <w:p w14:paraId="473E04A5" w14:textId="77777777" w:rsidR="0042195C" w:rsidRPr="008D2FF8" w:rsidRDefault="0042195C" w:rsidP="0042195C">
      <w:pPr>
        <w:pStyle w:val="Obinitekst1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lastRenderedPageBreak/>
        <w:t>Struktura i karakteristike mreže javne rasvjete (broj svjetiljki, tip i karakteristike, udaljenost između rasvjetnih stupova i dr.);</w:t>
      </w:r>
    </w:p>
    <w:p w14:paraId="3144FBB8" w14:textId="77777777" w:rsidR="0042195C" w:rsidRPr="008D2FF8" w:rsidRDefault="0042195C" w:rsidP="0042195C">
      <w:pPr>
        <w:pStyle w:val="Obinitekst1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Potrošnja električne energije;</w:t>
      </w:r>
    </w:p>
    <w:p w14:paraId="3E79959D" w14:textId="77777777" w:rsidR="0042195C" w:rsidRPr="008D2FF8" w:rsidRDefault="0042195C" w:rsidP="0042195C">
      <w:pPr>
        <w:pStyle w:val="Obinitekst1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8D2FF8">
        <w:rPr>
          <w:rFonts w:ascii="Calibri" w:hAnsi="Calibri" w:cs="Arial"/>
          <w:sz w:val="22"/>
          <w:szCs w:val="22"/>
          <w:lang w:val="hr-HR"/>
        </w:rPr>
        <w:t>Potrošnja plina 239 plinskih svjetiljki na Gornjem gradu.</w:t>
      </w:r>
    </w:p>
    <w:p w14:paraId="596D84B8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59897B22" w14:textId="77777777" w:rsidR="0042195C" w:rsidRPr="008D2FF8" w:rsidRDefault="0042195C" w:rsidP="0042195C">
      <w:pPr>
        <w:pStyle w:val="NoSpacing"/>
      </w:pPr>
      <w:r w:rsidRPr="008D2FF8">
        <w:t xml:space="preserve">Na temelju prikupljenih podataka, za sektor javne rasvjete Grada Zagreba određeni su sljedeći </w:t>
      </w:r>
      <w:r w:rsidRPr="008D2FF8">
        <w:rPr>
          <w:b/>
        </w:rPr>
        <w:t>parametri i karakteristike</w:t>
      </w:r>
      <w:r w:rsidRPr="008D2FF8">
        <w:t>:</w:t>
      </w:r>
    </w:p>
    <w:p w14:paraId="0A459D99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opći podaci o sektoru javne rasvjete Grada;</w:t>
      </w:r>
    </w:p>
    <w:p w14:paraId="2BBBACAF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struktura električne mreže javne rasvjete Grada;</w:t>
      </w:r>
    </w:p>
    <w:p w14:paraId="59DC6E98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kategorije električnih rasvjetnih tijela (svjetiljke);</w:t>
      </w:r>
    </w:p>
    <w:p w14:paraId="788B9FD2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tipovi električnih izvora svjetlosti (sijalice);</w:t>
      </w:r>
    </w:p>
    <w:p w14:paraId="1F7F3CFE" w14:textId="77777777" w:rsidR="0042195C" w:rsidRPr="008D2FF8" w:rsidRDefault="0042195C" w:rsidP="0042195C">
      <w:pPr>
        <w:pStyle w:val="NoSpacing"/>
        <w:numPr>
          <w:ilvl w:val="0"/>
          <w:numId w:val="9"/>
        </w:numPr>
        <w:rPr>
          <w:i/>
        </w:rPr>
      </w:pPr>
      <w:r w:rsidRPr="008D2FF8">
        <w:t>ukupna potrošnja električne energije sektora (MWh);</w:t>
      </w:r>
    </w:p>
    <w:p w14:paraId="6F539FEE" w14:textId="77777777" w:rsidR="0042195C" w:rsidRPr="008D2FF8" w:rsidRDefault="0042195C" w:rsidP="0042195C">
      <w:pPr>
        <w:pStyle w:val="NoSpacing"/>
        <w:numPr>
          <w:ilvl w:val="0"/>
          <w:numId w:val="9"/>
        </w:numPr>
      </w:pPr>
      <w:r w:rsidRPr="008D2FF8">
        <w:t>struktura plinske mreže javne rasvjete Grada;</w:t>
      </w:r>
    </w:p>
    <w:p w14:paraId="762B6E7C" w14:textId="77777777" w:rsidR="0042195C" w:rsidRPr="008D2FF8" w:rsidRDefault="0042195C" w:rsidP="0042195C">
      <w:pPr>
        <w:pStyle w:val="NoSpacing"/>
        <w:numPr>
          <w:ilvl w:val="0"/>
          <w:numId w:val="9"/>
        </w:numPr>
        <w:rPr>
          <w:rFonts w:eastAsia="Times New Roman" w:cs="Arial"/>
          <w:b/>
          <w:u w:val="single"/>
        </w:rPr>
      </w:pPr>
      <w:r w:rsidRPr="008D2FF8">
        <w:t xml:space="preserve">ukupna potrošnja plina sektora javne rasvjete.  </w:t>
      </w:r>
    </w:p>
    <w:p w14:paraId="7B3A8327" w14:textId="477C9C5E" w:rsidR="00E038AC" w:rsidRDefault="00E038AC">
      <w:pPr>
        <w:rPr>
          <w:rFonts w:ascii="Calibri" w:eastAsia="Calibri" w:hAnsi="Calibri" w:cs="Times New Roman"/>
        </w:rPr>
      </w:pPr>
      <w:r>
        <w:br w:type="page"/>
      </w:r>
    </w:p>
    <w:p w14:paraId="6EA855E0" w14:textId="1ED0B356" w:rsidR="0042195C" w:rsidRPr="008D2FF8" w:rsidRDefault="0042195C" w:rsidP="00E038AC">
      <w:pPr>
        <w:pStyle w:val="Heading1"/>
      </w:pPr>
      <w:r w:rsidRPr="008D2FF8">
        <w:lastRenderedPageBreak/>
        <w:t>Izvori podataka</w:t>
      </w:r>
      <w:r w:rsidR="00E038AC">
        <w:t xml:space="preserve"> za izradu Referentnog inventara</w:t>
      </w:r>
    </w:p>
    <w:p w14:paraId="4AF367B6" w14:textId="77777777" w:rsidR="0042195C" w:rsidRPr="008D2FF8" w:rsidRDefault="0042195C" w:rsidP="0042195C">
      <w:pPr>
        <w:pStyle w:val="Obinitekst1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14:paraId="76DE9C56" w14:textId="77777777" w:rsidR="0042195C" w:rsidRPr="008D2FF8" w:rsidRDefault="0042195C" w:rsidP="0042195C">
      <w:pPr>
        <w:pStyle w:val="NoSpacing"/>
      </w:pPr>
      <w:r w:rsidRPr="008D2FF8">
        <w:t xml:space="preserve">Relevantni podaci za analize </w:t>
      </w:r>
      <w:r w:rsidRPr="008D2FF8">
        <w:rPr>
          <w:b/>
        </w:rPr>
        <w:t>energetskih potrošnji u zgradarstvu</w:t>
      </w:r>
      <w:r w:rsidRPr="008D2FF8">
        <w:t xml:space="preserve"> prikupljeni su od sljedećih izvora:</w:t>
      </w:r>
    </w:p>
    <w:p w14:paraId="55208CAC" w14:textId="77777777" w:rsidR="0042195C" w:rsidRPr="0042195C" w:rsidRDefault="0042195C" w:rsidP="0042195C">
      <w:pPr>
        <w:pStyle w:val="NoSpacing"/>
        <w:numPr>
          <w:ilvl w:val="0"/>
          <w:numId w:val="10"/>
        </w:numPr>
      </w:pPr>
      <w:r w:rsidRPr="0042195C">
        <w:t>Gradski ured za energetiku, zaštitu okoliša i održivi razvoj (EE infogalerija);</w:t>
      </w:r>
    </w:p>
    <w:p w14:paraId="5CC17F05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Gradski ured za kulturu, obrazovanje i šport – Odjel za održavanje objekata;</w:t>
      </w:r>
    </w:p>
    <w:p w14:paraId="0632C92C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Gradski ured za imovinsko-pravne poslove i imovinu grada;</w:t>
      </w:r>
    </w:p>
    <w:p w14:paraId="655C551B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Gradski ured za strategijsko planiranje i razvoj grada – Odjel za statistiku;</w:t>
      </w:r>
    </w:p>
    <w:p w14:paraId="2239C886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Gradski ured za strategijsko planiranje i razvoj grada – Odjel za demografiju;</w:t>
      </w:r>
    </w:p>
    <w:p w14:paraId="1DCE7CBF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Članice Zagrebačkog holdinga;</w:t>
      </w:r>
    </w:p>
    <w:p w14:paraId="15946A7B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Državni zavod za statistiku - Popis stanovništva 2001.;</w:t>
      </w:r>
    </w:p>
    <w:p w14:paraId="79C5A1E9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HEP- toplinarstvo d.o.o.;</w:t>
      </w:r>
    </w:p>
    <w:p w14:paraId="2DE14E73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Gradska plinara Zagreb d.o.o.</w:t>
      </w:r>
    </w:p>
    <w:p w14:paraId="4EAA68D6" w14:textId="77777777" w:rsidR="0042195C" w:rsidRDefault="0042195C" w:rsidP="0042195C">
      <w:pPr>
        <w:pStyle w:val="NoSpacing"/>
        <w:numPr>
          <w:ilvl w:val="0"/>
          <w:numId w:val="10"/>
        </w:numPr>
      </w:pPr>
      <w:r w:rsidRPr="008D2FF8">
        <w:t>HEP ODS d.o.o. – Elektra Zagreb</w:t>
      </w:r>
    </w:p>
    <w:p w14:paraId="3A82961A" w14:textId="58C9BED2" w:rsidR="0042195C" w:rsidRPr="0042195C" w:rsidRDefault="0042195C" w:rsidP="0042195C">
      <w:pPr>
        <w:pStyle w:val="NoSpacing"/>
        <w:numPr>
          <w:ilvl w:val="0"/>
          <w:numId w:val="10"/>
        </w:numPr>
      </w:pPr>
      <w:r w:rsidRPr="0042195C">
        <w:rPr>
          <w:rFonts w:cs="Arial"/>
        </w:rPr>
        <w:t xml:space="preserve">Podaci iz ISGE sustava (od 2015. godine postoji zakonska obveza unosa podataka u Informacijski sustav za gospodarenje energijom - ISGE za sve javne zgrade). </w:t>
      </w:r>
    </w:p>
    <w:p w14:paraId="2E62BB7D" w14:textId="77777777" w:rsidR="0042195C" w:rsidRPr="008D2FF8" w:rsidRDefault="0042195C" w:rsidP="0042195C">
      <w:pPr>
        <w:pStyle w:val="NoSpacing"/>
      </w:pPr>
    </w:p>
    <w:p w14:paraId="1CBF71F8" w14:textId="77777777" w:rsidR="0042195C" w:rsidRPr="008D2FF8" w:rsidRDefault="0042195C" w:rsidP="0042195C">
      <w:pPr>
        <w:pStyle w:val="NoSpacing"/>
      </w:pPr>
      <w:r w:rsidRPr="008D2FF8">
        <w:t xml:space="preserve">Relevantni podaci za analize </w:t>
      </w:r>
      <w:r w:rsidRPr="008D2FF8">
        <w:rPr>
          <w:b/>
        </w:rPr>
        <w:t>energetskih potrošnji u prometu</w:t>
      </w:r>
      <w:r w:rsidRPr="008D2FF8">
        <w:t xml:space="preserve"> prikupljeni su iz sljedećih izvora:</w:t>
      </w:r>
    </w:p>
    <w:p w14:paraId="7783FC79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Gradski ured za strategijsko planiranje i razvoj grada – Odjel za statistiku;</w:t>
      </w:r>
    </w:p>
    <w:p w14:paraId="1D79B5CE" w14:textId="77777777" w:rsidR="0042195C" w:rsidRPr="008D2FF8" w:rsidRDefault="0042195C" w:rsidP="0042195C">
      <w:pPr>
        <w:pStyle w:val="NoSpacing"/>
        <w:numPr>
          <w:ilvl w:val="0"/>
          <w:numId w:val="10"/>
        </w:numPr>
      </w:pPr>
      <w:r w:rsidRPr="008D2FF8">
        <w:t>Članice Zagrebačkog holdinga d.o.o.</w:t>
      </w:r>
    </w:p>
    <w:p w14:paraId="34911046" w14:textId="77777777" w:rsidR="00784290" w:rsidRDefault="00784290" w:rsidP="0042195C">
      <w:pPr>
        <w:spacing w:after="0" w:line="240" w:lineRule="auto"/>
      </w:pPr>
    </w:p>
    <w:p w14:paraId="7EC01D15" w14:textId="3FBC4432" w:rsidR="0042195C" w:rsidRPr="008D2FF8" w:rsidRDefault="0042195C" w:rsidP="0042195C">
      <w:pPr>
        <w:spacing w:after="0" w:line="240" w:lineRule="auto"/>
      </w:pPr>
      <w:r w:rsidRPr="008D2FF8">
        <w:t xml:space="preserve">Relevantni podaci za analizu </w:t>
      </w:r>
      <w:r w:rsidRPr="008D2FF8">
        <w:rPr>
          <w:b/>
        </w:rPr>
        <w:t>energetske potrošnje u sektoru javne rasvjete</w:t>
      </w:r>
      <w:r w:rsidRPr="008D2FF8">
        <w:t xml:space="preserve"> Grada prikupljeni su iz sljedećih izvora:</w:t>
      </w:r>
    </w:p>
    <w:p w14:paraId="2B28ACA9" w14:textId="77777777" w:rsidR="0042195C" w:rsidRPr="008D2FF8" w:rsidRDefault="0042195C" w:rsidP="0042195C">
      <w:pPr>
        <w:pStyle w:val="NoSpacing"/>
        <w:numPr>
          <w:ilvl w:val="0"/>
          <w:numId w:val="12"/>
        </w:numPr>
      </w:pPr>
      <w:r w:rsidRPr="008D2FF8">
        <w:t>Gradski ured za strategijsko planiranje i razvoj grada – Odjel za statistiku,</w:t>
      </w:r>
    </w:p>
    <w:p w14:paraId="527496F3" w14:textId="77777777" w:rsidR="0042195C" w:rsidRPr="008D2FF8" w:rsidRDefault="0042195C" w:rsidP="0042195C">
      <w:pPr>
        <w:pStyle w:val="NoSpacing"/>
        <w:numPr>
          <w:ilvl w:val="0"/>
          <w:numId w:val="12"/>
        </w:numPr>
      </w:pPr>
      <w:r w:rsidRPr="008D2FF8">
        <w:t xml:space="preserve">Gradski ured prostorno uređenje, izgradnju Grada, graditeljstvo, komunalne poslove i promet – Sektor </w:t>
      </w:r>
      <w:hyperlink r:id="rId11" w:history="1">
        <w:r w:rsidRPr="008D2FF8">
          <w:t xml:space="preserve">za građenje i održavanje komunalne infrastrukture. </w:t>
        </w:r>
      </w:hyperlink>
    </w:p>
    <w:p w14:paraId="7903768B" w14:textId="77777777" w:rsidR="00784290" w:rsidRDefault="00784290" w:rsidP="0042195C">
      <w:pPr>
        <w:spacing w:after="0" w:line="240" w:lineRule="auto"/>
      </w:pPr>
    </w:p>
    <w:p w14:paraId="0905CBAA" w14:textId="14E7B39A" w:rsidR="0042195C" w:rsidRPr="008D2FF8" w:rsidRDefault="0042195C" w:rsidP="00784290">
      <w:pPr>
        <w:spacing w:after="0" w:line="240" w:lineRule="auto"/>
        <w:jc w:val="both"/>
        <w:rPr>
          <w:rFonts w:ascii="Calibri" w:hAnsi="Calibri" w:cs="Arial"/>
        </w:rPr>
      </w:pPr>
      <w:r w:rsidRPr="008D2FF8">
        <w:t xml:space="preserve">Karakteristično za Grad Zagreb je da je kompletna mreža javne rasvjete u vlasništvu Grada, što je pojednostavilo i ubrzalo proces prikupljanja potrebnih podataka. </w:t>
      </w:r>
      <w:r w:rsidRPr="008D2FF8">
        <w:rPr>
          <w:rFonts w:ascii="Calibri" w:hAnsi="Calibri" w:cs="Arial"/>
        </w:rPr>
        <w:t>Potrebno je naglasiti da su svi ulazni podaci za analizu energetske potrošnje u sektoru javne rasvjete Grada Zagreba prikupljeni od nadležnih gradskih ureda, potpuno pouzdani i točni.</w:t>
      </w:r>
    </w:p>
    <w:p w14:paraId="323733CE" w14:textId="77777777" w:rsidR="0042195C" w:rsidRDefault="0042195C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559723ED" w14:textId="0D1B8821" w:rsidR="00E038AC" w:rsidRDefault="00E038AC">
      <w:pPr>
        <w:rPr>
          <w:rFonts w:ascii="Calibri" w:eastAsia="Times New Roman" w:hAnsi="Calibri" w:cs="Arial"/>
        </w:rPr>
      </w:pPr>
      <w:r>
        <w:rPr>
          <w:rFonts w:ascii="Calibri" w:hAnsi="Calibri" w:cs="Arial"/>
        </w:rPr>
        <w:br w:type="page"/>
      </w:r>
    </w:p>
    <w:p w14:paraId="74421747" w14:textId="77777777" w:rsidR="0042195C" w:rsidRDefault="0042195C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0E48ECEB" w14:textId="30321BBC" w:rsidR="0042195C" w:rsidRDefault="0042195C" w:rsidP="00E038AC">
      <w:pPr>
        <w:pStyle w:val="Subtitle"/>
        <w:numPr>
          <w:ilvl w:val="0"/>
          <w:numId w:val="0"/>
        </w:numPr>
      </w:pPr>
      <w:r>
        <w:t>Kontrolni inventar</w:t>
      </w:r>
    </w:p>
    <w:p w14:paraId="555D9206" w14:textId="77777777" w:rsidR="0042195C" w:rsidRDefault="0042195C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3E386EEF" w14:textId="27C5410F" w:rsidR="00096E32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2C1655">
        <w:rPr>
          <w:rFonts w:ascii="Calibri" w:hAnsi="Calibri" w:cs="Arial"/>
          <w:sz w:val="22"/>
          <w:szCs w:val="22"/>
          <w:lang w:val="hr-HR"/>
        </w:rPr>
        <w:t xml:space="preserve">Ključni korak za analizu energetske potrošnje sektora i njihovih podsektora je </w:t>
      </w:r>
      <w:r w:rsidRPr="00131A87">
        <w:rPr>
          <w:rFonts w:ascii="Calibri" w:hAnsi="Calibri" w:cs="Arial"/>
          <w:b/>
          <w:sz w:val="22"/>
          <w:szCs w:val="22"/>
          <w:lang w:val="hr-HR"/>
        </w:rPr>
        <w:t>prikupiti kvalitetne podatke</w:t>
      </w:r>
      <w:r w:rsidRPr="002C1655">
        <w:rPr>
          <w:rFonts w:ascii="Calibri" w:hAnsi="Calibri" w:cs="Arial"/>
          <w:sz w:val="22"/>
          <w:szCs w:val="22"/>
          <w:lang w:val="hr-HR"/>
        </w:rPr>
        <w:t xml:space="preserve"> što je, zbog </w:t>
      </w:r>
      <w:r>
        <w:rPr>
          <w:rFonts w:ascii="Calibri" w:hAnsi="Calibri" w:cs="Arial"/>
          <w:sz w:val="22"/>
          <w:szCs w:val="22"/>
          <w:lang w:val="hr-HR"/>
        </w:rPr>
        <w:t>složenosti sustava gradske energetske infrastrukture</w:t>
      </w:r>
      <w:r w:rsidRPr="002C1655">
        <w:rPr>
          <w:rFonts w:ascii="Calibri" w:hAnsi="Calibri" w:cs="Arial"/>
          <w:sz w:val="22"/>
          <w:szCs w:val="22"/>
          <w:lang w:val="hr-HR"/>
        </w:rPr>
        <w:t>, za Grad Zagreb vrlo kompleksan zadatak.</w:t>
      </w:r>
    </w:p>
    <w:p w14:paraId="1604AD54" w14:textId="77777777" w:rsidR="00096E32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4C7A3593" w14:textId="77777777" w:rsidR="00096E32" w:rsidRPr="00794A3B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Za sve podsektore u zgradarstvu Grada Zagreba, za 2008. godinu treba prikupiti podatke o:</w:t>
      </w:r>
    </w:p>
    <w:p w14:paraId="07661BE0" w14:textId="77777777" w:rsidR="00096E32" w:rsidRPr="00794A3B" w:rsidRDefault="00096E32" w:rsidP="00096E32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Broju i karakteristikama građevina;</w:t>
      </w:r>
    </w:p>
    <w:p w14:paraId="7348212F" w14:textId="77777777" w:rsidR="00096E32" w:rsidRPr="00794A3B" w:rsidRDefault="00096E32" w:rsidP="00096E32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Potrošnji električne energije;</w:t>
      </w:r>
    </w:p>
    <w:p w14:paraId="312E0CD9" w14:textId="77777777" w:rsidR="00096E32" w:rsidRPr="00794A3B" w:rsidRDefault="00096E32" w:rsidP="00096E32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Potrošnji toplinske energije iz centraliziranog toplinskog sustava;</w:t>
      </w:r>
    </w:p>
    <w:p w14:paraId="4EAFB593" w14:textId="77777777" w:rsidR="00096E32" w:rsidRPr="00794A3B" w:rsidRDefault="00096E32" w:rsidP="00096E32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Potrošnji toplinske energije iz posebnih toplana;</w:t>
      </w:r>
    </w:p>
    <w:p w14:paraId="45D5B2F3" w14:textId="77777777" w:rsidR="00096E32" w:rsidRPr="00794A3B" w:rsidRDefault="00096E32" w:rsidP="00096E32">
      <w:pPr>
        <w:pStyle w:val="Obinitekst1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Potrošnji drugih energenata za grijanje (plin, lož ulje, ogrjevno drvo, i drugi).</w:t>
      </w:r>
    </w:p>
    <w:p w14:paraId="323EF95B" w14:textId="77777777" w:rsidR="00096E32" w:rsidRPr="00794A3B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34F0F32C" w14:textId="77777777" w:rsidR="00096E32" w:rsidRPr="00794A3B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Potrebni podaci za analizu energetske potrošnje prometa u Gradu Zagrebu u 2008. godini su:</w:t>
      </w:r>
    </w:p>
    <w:p w14:paraId="1AADB408" w14:textId="77777777" w:rsidR="00096E32" w:rsidRPr="00794A3B" w:rsidRDefault="00096E32" w:rsidP="00096E32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Struktura voznog parka u vlasništvu Grada Zagreba prema korištenom gorivu;</w:t>
      </w:r>
    </w:p>
    <w:p w14:paraId="14E0509B" w14:textId="77777777" w:rsidR="00096E32" w:rsidRPr="00794A3B" w:rsidRDefault="00096E32" w:rsidP="00096E32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Struktura i karakteristike javnog prijevoza na području Grada Zagreba;</w:t>
      </w:r>
    </w:p>
    <w:p w14:paraId="7C80F889" w14:textId="77777777" w:rsidR="00096E32" w:rsidRPr="00794A3B" w:rsidRDefault="00096E32" w:rsidP="00096E32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Broj i struktura registriranih osobnih i kombiniranih vozila;</w:t>
      </w:r>
    </w:p>
    <w:p w14:paraId="7ACBA2BE" w14:textId="77777777" w:rsidR="00096E32" w:rsidRPr="00794A3B" w:rsidRDefault="00096E32" w:rsidP="00096E32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Potrošnja raznih vrsta goriva voznog parka u vlasništvu Grada Zagreba;</w:t>
      </w:r>
    </w:p>
    <w:p w14:paraId="712F4057" w14:textId="77777777" w:rsidR="00096E32" w:rsidRPr="00794A3B" w:rsidRDefault="00096E32" w:rsidP="00096E32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Potrošnja električne energije Zagrebačkog električnog tramvaja;</w:t>
      </w:r>
    </w:p>
    <w:p w14:paraId="3CC44A68" w14:textId="77777777" w:rsidR="00096E32" w:rsidRPr="00794A3B" w:rsidRDefault="00096E32" w:rsidP="00096E32">
      <w:pPr>
        <w:pStyle w:val="Obinitekst1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Podjela i potrošnja raznih vrsta goriva za autobusni prijevoz na području Grada Zagreba.</w:t>
      </w:r>
    </w:p>
    <w:p w14:paraId="51675AE9" w14:textId="77777777" w:rsidR="00096E32" w:rsidRPr="00794A3B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05178267" w14:textId="77777777" w:rsidR="00096E32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Na osnovu broja i strukture registriranih osobnih i kombiniranih vozila biti će procijenjena pređena kilometraža i pripadajuća potrošnja raznih vrsta goriva.</w:t>
      </w:r>
    </w:p>
    <w:p w14:paraId="299B9775" w14:textId="77777777" w:rsidR="005A0D4E" w:rsidRDefault="005A0D4E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</w:p>
    <w:p w14:paraId="77F9E4D8" w14:textId="08A12881" w:rsidR="00096E32" w:rsidRPr="00794A3B" w:rsidRDefault="00096E32" w:rsidP="00096E32">
      <w:pPr>
        <w:pStyle w:val="Obinitekst1"/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Potrebni podaci za analizu potrošnje energije u javnoj rasvjeti Grada Zagreba su:</w:t>
      </w:r>
    </w:p>
    <w:p w14:paraId="48CD3C43" w14:textId="77777777" w:rsidR="00096E32" w:rsidRPr="00794A3B" w:rsidRDefault="00096E32" w:rsidP="00096E32">
      <w:pPr>
        <w:pStyle w:val="Obinitekst1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Struktura i karakteristike mreže javne rasvjete (broj svjetiljki, tip i karakteristike, udaljenost između rasvjetnih stupova i dr.);</w:t>
      </w:r>
    </w:p>
    <w:p w14:paraId="048DB1AE" w14:textId="77777777" w:rsidR="00096E32" w:rsidRPr="00794A3B" w:rsidRDefault="00096E32" w:rsidP="00096E32">
      <w:pPr>
        <w:pStyle w:val="Obinitekst1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Potrošnja električne energije;</w:t>
      </w:r>
    </w:p>
    <w:p w14:paraId="4AE623CC" w14:textId="77777777" w:rsidR="00096E32" w:rsidRPr="00794A3B" w:rsidRDefault="00096E32" w:rsidP="00096E32">
      <w:pPr>
        <w:pStyle w:val="Obinitekst1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794A3B">
        <w:rPr>
          <w:rFonts w:ascii="Calibri" w:hAnsi="Calibri" w:cs="Arial"/>
          <w:sz w:val="22"/>
          <w:szCs w:val="22"/>
          <w:lang w:val="hr-HR"/>
        </w:rPr>
        <w:t>Potrošnja plina 239 plinskih svjetiljki na Gornjem gradu.</w:t>
      </w:r>
    </w:p>
    <w:p w14:paraId="79F81CCD" w14:textId="732FDEA1" w:rsidR="00E038AC" w:rsidRDefault="00E038AC">
      <w:r>
        <w:br w:type="page"/>
      </w:r>
    </w:p>
    <w:p w14:paraId="1F120923" w14:textId="3BD6A885" w:rsidR="00E038AC" w:rsidRDefault="00E038AC" w:rsidP="00E038AC">
      <w:pPr>
        <w:pStyle w:val="Heading1"/>
      </w:pPr>
      <w:r>
        <w:lastRenderedPageBreak/>
        <w:t>Izvori podataka za izradu Kontrolnog inventara</w:t>
      </w:r>
    </w:p>
    <w:p w14:paraId="3E75E08E" w14:textId="5F9DD6FC" w:rsidR="00096E32" w:rsidRDefault="00096E32" w:rsidP="00096E32"/>
    <w:p w14:paraId="47BFA835" w14:textId="77777777" w:rsidR="00E038AC" w:rsidRPr="005E408A" w:rsidRDefault="00E038AC" w:rsidP="00E038AC">
      <w:pPr>
        <w:spacing w:after="240"/>
        <w:ind w:left="360"/>
        <w:jc w:val="both"/>
      </w:pPr>
      <w:r w:rsidRPr="005E408A">
        <w:t>Akcijski plan energetski održivog razvitka Grada Zagreba (SEAP);</w:t>
      </w:r>
    </w:p>
    <w:p w14:paraId="1EA4E35B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rPr>
          <w:rFonts w:ascii="Calibri" w:eastAsia="Calibri" w:hAnsi="Calibri" w:cs="Times New Roman"/>
        </w:rPr>
        <w:t>Gradski ured za energetiku, zaštitu okoliša i održivi razvoj, Grad Zagreb;</w:t>
      </w:r>
    </w:p>
    <w:p w14:paraId="36B2D554" w14:textId="77777777" w:rsidR="00E038AC" w:rsidRPr="005E408A" w:rsidRDefault="00E038AC" w:rsidP="00E038AC">
      <w:pPr>
        <w:ind w:left="360"/>
        <w:jc w:val="both"/>
      </w:pPr>
      <w:r w:rsidRPr="005E408A">
        <w:t>Gradski ured za zdravstvo, Grad Zagreb;</w:t>
      </w:r>
    </w:p>
    <w:p w14:paraId="05AEC4FF" w14:textId="77777777" w:rsidR="00E038AC" w:rsidRPr="005E408A" w:rsidRDefault="00E038AC" w:rsidP="00E038AC">
      <w:pPr>
        <w:ind w:left="360"/>
        <w:jc w:val="both"/>
      </w:pPr>
      <w:r w:rsidRPr="005E408A">
        <w:t>Gradski ured za gospodarstvo, radi i poduzetništvo, Grad Zagreb;</w:t>
      </w:r>
    </w:p>
    <w:p w14:paraId="1CC81712" w14:textId="77777777" w:rsidR="00E038AC" w:rsidRPr="005E408A" w:rsidRDefault="00E038AC" w:rsidP="00E038AC">
      <w:pPr>
        <w:ind w:left="360"/>
        <w:jc w:val="both"/>
      </w:pPr>
      <w:r w:rsidRPr="005E408A">
        <w:t>Gradski ured za prostorno uređenje, izgradnju Grada, graditeljstvo, komunalne poslove i promet, Grad Zagreb, Odsjek za građenje i održavanje javne rasvjete;</w:t>
      </w:r>
    </w:p>
    <w:p w14:paraId="4329DC5D" w14:textId="77777777" w:rsidR="00E038AC" w:rsidRPr="005E408A" w:rsidRDefault="00E038AC" w:rsidP="00E038AC">
      <w:pPr>
        <w:ind w:left="360"/>
        <w:jc w:val="both"/>
      </w:pPr>
      <w:r w:rsidRPr="005E408A">
        <w:t>Gradski ured za socijalnu zaštitu i osobe s invaliditetom, Grad Zagreb;</w:t>
      </w:r>
    </w:p>
    <w:p w14:paraId="37F7B8EC" w14:textId="77777777" w:rsidR="00E038AC" w:rsidRPr="005E408A" w:rsidRDefault="00E038AC" w:rsidP="00E038AC">
      <w:pPr>
        <w:spacing w:after="240"/>
        <w:ind w:left="360"/>
        <w:jc w:val="both"/>
      </w:pPr>
      <w:r w:rsidRPr="005E408A">
        <w:t>Priručnik za praćenje i izvještavanje o Akcijskom planu;</w:t>
      </w:r>
    </w:p>
    <w:p w14:paraId="357E071C" w14:textId="77777777" w:rsidR="00E038AC" w:rsidRPr="005E408A" w:rsidRDefault="00E038AC" w:rsidP="00E038AC">
      <w:pPr>
        <w:spacing w:after="240"/>
        <w:ind w:left="360"/>
        <w:jc w:val="both"/>
      </w:pPr>
      <w:r w:rsidRPr="005E408A">
        <w:t>http://www.covenantofmayors.eu/IMG/pdf/Reporting_Guidelines_SEAP_and_Monitoring.pdf</w:t>
      </w:r>
    </w:p>
    <w:p w14:paraId="3EE37AB0" w14:textId="77777777" w:rsidR="00E038AC" w:rsidRPr="00E038AC" w:rsidRDefault="00E038AC" w:rsidP="00E038AC">
      <w:pPr>
        <w:spacing w:after="240"/>
        <w:ind w:left="360"/>
        <w:jc w:val="both"/>
      </w:pPr>
      <w:r w:rsidRPr="00E038AC">
        <w:t>Godišnji plan energetske učinkovitosti Grada Zagreba za 2016. godinu;</w:t>
      </w:r>
    </w:p>
    <w:p w14:paraId="37E690A6" w14:textId="77777777" w:rsidR="00E038AC" w:rsidRPr="00E038AC" w:rsidRDefault="00E038AC" w:rsidP="00E038AC">
      <w:pPr>
        <w:spacing w:after="240"/>
        <w:ind w:left="360"/>
        <w:jc w:val="both"/>
      </w:pPr>
      <w:r w:rsidRPr="00E038AC">
        <w:t>Nacionalni informacijski sustav za gospodarenje energijom, ISGE;</w:t>
      </w:r>
    </w:p>
    <w:p w14:paraId="2347FA90" w14:textId="77777777" w:rsidR="00E038AC" w:rsidRPr="00E038AC" w:rsidRDefault="00E038AC" w:rsidP="00E038AC">
      <w:pPr>
        <w:spacing w:after="240"/>
        <w:ind w:left="360"/>
        <w:jc w:val="both"/>
      </w:pPr>
      <w:r w:rsidRPr="00E038AC">
        <w:t>Nacionalni program energetske učinkovitosti 2008.-2016.;</w:t>
      </w:r>
    </w:p>
    <w:p w14:paraId="1B641A04" w14:textId="77777777" w:rsidR="00E038AC" w:rsidRPr="00E038AC" w:rsidRDefault="00C343AD" w:rsidP="00E038AC">
      <w:pPr>
        <w:spacing w:after="240"/>
        <w:ind w:left="360"/>
        <w:jc w:val="both"/>
      </w:pPr>
      <w:hyperlink r:id="rId12" w:history="1">
        <w:r w:rsidR="00E038AC" w:rsidRPr="00E038AC">
          <w:rPr>
            <w:rStyle w:val="Hyperlink"/>
            <w:color w:val="auto"/>
          </w:rPr>
          <w:t>http://www.mingo.hr/userdocsimages/energetika/Nacionalni%20program%20energetske%20u%C4%8Dinkovitosti%202008.%20-%202010..pdf</w:t>
        </w:r>
      </w:hyperlink>
    </w:p>
    <w:p w14:paraId="6A46CBAA" w14:textId="77777777" w:rsidR="00E038AC" w:rsidRPr="00E038AC" w:rsidRDefault="00E038AC" w:rsidP="00E038AC">
      <w:pPr>
        <w:spacing w:after="240"/>
        <w:ind w:left="360"/>
        <w:jc w:val="both"/>
      </w:pPr>
      <w:r w:rsidRPr="00E038AC">
        <w:t>Treći nacionalni akcijski plan za energetsku učinkovitost za razdoblje 2015.-2016.;</w:t>
      </w:r>
    </w:p>
    <w:p w14:paraId="39002C26" w14:textId="77777777" w:rsidR="00E038AC" w:rsidRPr="00E038AC" w:rsidRDefault="00C343AD" w:rsidP="00E038AC">
      <w:pPr>
        <w:spacing w:after="240"/>
        <w:ind w:left="360"/>
        <w:jc w:val="both"/>
      </w:pPr>
      <w:hyperlink r:id="rId13" w:history="1">
        <w:r w:rsidR="00E038AC" w:rsidRPr="00E038AC">
          <w:rPr>
            <w:rStyle w:val="Hyperlink"/>
            <w:color w:val="auto"/>
          </w:rPr>
          <w:t>http://cei.hr/upload/2015/07/3_napenu_usvojen_53d8c6525e957.pdf</w:t>
        </w:r>
      </w:hyperlink>
    </w:p>
    <w:p w14:paraId="56AA7D27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energetskoj učinkovitosti (NN 127/14);</w:t>
      </w:r>
    </w:p>
    <w:p w14:paraId="659028B8" w14:textId="77777777" w:rsidR="00E038AC" w:rsidRPr="00E038AC" w:rsidRDefault="00C343AD" w:rsidP="00E038AC">
      <w:pPr>
        <w:spacing w:after="240"/>
        <w:ind w:left="360"/>
        <w:jc w:val="both"/>
      </w:pPr>
      <w:hyperlink r:id="rId14" w:history="1">
        <w:r w:rsidR="00E038AC" w:rsidRPr="00E038AC">
          <w:rPr>
            <w:rStyle w:val="Hyperlink"/>
            <w:color w:val="auto"/>
          </w:rPr>
          <w:t>http://narodne-novine.nn.hr/clanci/sluzbeni/2015_10_127_2399.html</w:t>
        </w:r>
      </w:hyperlink>
    </w:p>
    <w:p w14:paraId="6676F5BB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obnovljivim izvorima energije i visokoučinkovitoj kogeneraciji (NN 100/15);</w:t>
      </w:r>
    </w:p>
    <w:p w14:paraId="7CBDED6F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energiji (NN 120/15, 14/14, 95/15, 102/15);</w:t>
      </w:r>
    </w:p>
    <w:p w14:paraId="1D4AA7BF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tržištu električne energije (NN 22/13, 102/15);</w:t>
      </w:r>
    </w:p>
    <w:p w14:paraId="54121DEE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tržištu toplinske energije (NN 80/13, 14/14, 95/15);</w:t>
      </w:r>
    </w:p>
    <w:p w14:paraId="5613219B" w14:textId="77777777" w:rsidR="00E038AC" w:rsidRPr="00E038AC" w:rsidRDefault="00E038AC" w:rsidP="00E038AC">
      <w:pPr>
        <w:spacing w:after="240"/>
        <w:ind w:left="360"/>
        <w:jc w:val="both"/>
      </w:pPr>
      <w:r w:rsidRPr="00E038AC">
        <w:rPr>
          <w:bCs/>
        </w:rPr>
        <w:t>Zakon o energetskoj učinkovitosti (NN 127/14);</w:t>
      </w:r>
    </w:p>
    <w:p w14:paraId="36FD1199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tržištu nafte i naftnih derivata (NN 19/14);</w:t>
      </w:r>
    </w:p>
    <w:p w14:paraId="2598EFB4" w14:textId="77777777" w:rsidR="00E038AC" w:rsidRPr="00E038AC" w:rsidRDefault="00E038AC" w:rsidP="00E038AC">
      <w:pPr>
        <w:spacing w:after="240"/>
        <w:ind w:left="360"/>
        <w:jc w:val="both"/>
      </w:pPr>
      <w:r w:rsidRPr="00E038AC">
        <w:t xml:space="preserve">Zakon o tržištu plina (NN 28/13, 14/14); </w:t>
      </w:r>
    </w:p>
    <w:p w14:paraId="77308D0D" w14:textId="77777777" w:rsidR="00E038AC" w:rsidRPr="00E038AC" w:rsidRDefault="00E038AC" w:rsidP="00E038AC">
      <w:pPr>
        <w:spacing w:after="240"/>
        <w:ind w:left="360"/>
        <w:jc w:val="both"/>
      </w:pPr>
      <w:r w:rsidRPr="00E038AC">
        <w:lastRenderedPageBreak/>
        <w:t>Zakon o biogorivima za prijevoz (NN 65/09, 145/10, 26/11, 144/12, 14/14);</w:t>
      </w:r>
    </w:p>
    <w:p w14:paraId="1CA02290" w14:textId="77777777" w:rsidR="00E038AC" w:rsidRPr="00E038AC" w:rsidRDefault="00E038AC" w:rsidP="00E038AC">
      <w:pPr>
        <w:spacing w:after="240"/>
        <w:ind w:left="360"/>
        <w:jc w:val="both"/>
      </w:pPr>
      <w:r w:rsidRPr="00E038AC">
        <w:t>Zakon o gradnji (NN 153/13);</w:t>
      </w:r>
    </w:p>
    <w:p w14:paraId="465AA516" w14:textId="77777777" w:rsidR="00E038AC" w:rsidRPr="00E038AC" w:rsidRDefault="00E038AC" w:rsidP="00E038AC">
      <w:pPr>
        <w:spacing w:after="240"/>
        <w:ind w:left="360"/>
        <w:jc w:val="both"/>
      </w:pPr>
      <w:r w:rsidRPr="00E038AC">
        <w:t>Energija u Hrvatskoj</w:t>
      </w:r>
    </w:p>
    <w:p w14:paraId="1E7C0E5E" w14:textId="77777777" w:rsidR="00E038AC" w:rsidRPr="00E038AC" w:rsidRDefault="00E038AC" w:rsidP="00E038AC">
      <w:pPr>
        <w:spacing w:after="240"/>
        <w:ind w:left="360"/>
        <w:jc w:val="both"/>
      </w:pPr>
      <w:r w:rsidRPr="00E038AC">
        <w:t>Ministarstvo unutarnjih poslova Republike Hrvatske;</w:t>
      </w:r>
    </w:p>
    <w:p w14:paraId="183FE9AB" w14:textId="77777777" w:rsidR="00E038AC" w:rsidRPr="00E038AC" w:rsidRDefault="00E038AC" w:rsidP="00E038AC">
      <w:pPr>
        <w:pStyle w:val="NoSpacing"/>
        <w:spacing w:after="240" w:line="276" w:lineRule="auto"/>
        <w:ind w:left="360"/>
      </w:pPr>
      <w:r w:rsidRPr="00E038AC">
        <w:t>Statistički ljetopis Grada Zagreba 2015.;</w:t>
      </w:r>
    </w:p>
    <w:p w14:paraId="66F3FD77" w14:textId="77777777" w:rsidR="00E038AC" w:rsidRPr="00E038AC" w:rsidRDefault="00E038AC" w:rsidP="00E038AC">
      <w:pPr>
        <w:pStyle w:val="NoSpacing"/>
        <w:spacing w:after="240" w:line="276" w:lineRule="auto"/>
        <w:ind w:left="360"/>
      </w:pPr>
      <w:r w:rsidRPr="00E038AC">
        <w:t>Podružnica, trgovačkih društava i ustanove u vlasništvu Zagrebačkog holdinga d.o.o.;</w:t>
      </w:r>
    </w:p>
    <w:p w14:paraId="394FAED9" w14:textId="77777777" w:rsidR="00E038AC" w:rsidRPr="00E038AC" w:rsidRDefault="00E038AC" w:rsidP="00E038AC">
      <w:pPr>
        <w:ind w:left="360"/>
        <w:jc w:val="both"/>
      </w:pPr>
      <w:r w:rsidRPr="00E038AC">
        <w:t>AGM d.o.o.;</w:t>
      </w:r>
    </w:p>
    <w:p w14:paraId="40F394E5" w14:textId="77777777" w:rsidR="00E038AC" w:rsidRPr="00E038AC" w:rsidRDefault="00E038AC" w:rsidP="00E038AC">
      <w:pPr>
        <w:ind w:left="360"/>
        <w:jc w:val="both"/>
      </w:pPr>
      <w:r w:rsidRPr="00E038AC">
        <w:t>Arena Zagreb;</w:t>
      </w:r>
    </w:p>
    <w:p w14:paraId="5BA3FBC4" w14:textId="77777777" w:rsidR="00E038AC" w:rsidRPr="00E038AC" w:rsidRDefault="00E038AC" w:rsidP="00E038AC">
      <w:pPr>
        <w:ind w:left="360"/>
        <w:jc w:val="both"/>
      </w:pPr>
      <w:r w:rsidRPr="00E038AC">
        <w:t>Autobusni kolodvor;</w:t>
      </w:r>
    </w:p>
    <w:p w14:paraId="3CFE8198" w14:textId="77777777" w:rsidR="00E038AC" w:rsidRPr="00E038AC" w:rsidRDefault="00E038AC" w:rsidP="00E038AC">
      <w:pPr>
        <w:ind w:left="360"/>
        <w:jc w:val="both"/>
      </w:pPr>
      <w:r w:rsidRPr="00E038AC">
        <w:t>Centar d.o.o.;</w:t>
      </w:r>
    </w:p>
    <w:p w14:paraId="0ABE7392" w14:textId="77777777" w:rsidR="00E038AC" w:rsidRPr="00E038AC" w:rsidRDefault="00E038AC" w:rsidP="00E038AC">
      <w:pPr>
        <w:ind w:left="360"/>
        <w:jc w:val="both"/>
      </w:pPr>
      <w:r w:rsidRPr="00E038AC">
        <w:t>Čistoća;</w:t>
      </w:r>
    </w:p>
    <w:p w14:paraId="4764693A" w14:textId="77777777" w:rsidR="00E038AC" w:rsidRPr="00E038AC" w:rsidRDefault="00E038AC" w:rsidP="00E038AC">
      <w:pPr>
        <w:ind w:left="360"/>
        <w:jc w:val="both"/>
      </w:pPr>
      <w:r w:rsidRPr="00E038AC">
        <w:t>Gradska groblja;</w:t>
      </w:r>
    </w:p>
    <w:p w14:paraId="7225B0F5" w14:textId="77777777" w:rsidR="00E038AC" w:rsidRPr="005554BC" w:rsidRDefault="00E038AC" w:rsidP="00E038AC">
      <w:pPr>
        <w:ind w:left="360"/>
        <w:jc w:val="both"/>
      </w:pPr>
      <w:r w:rsidRPr="005554BC">
        <w:t>Gradska ljekarna Zagreb;</w:t>
      </w:r>
    </w:p>
    <w:p w14:paraId="2B028D82" w14:textId="77777777" w:rsidR="00E038AC" w:rsidRPr="005554BC" w:rsidRDefault="00E038AC" w:rsidP="00E038AC">
      <w:pPr>
        <w:ind w:left="360"/>
        <w:jc w:val="both"/>
      </w:pPr>
      <w:r w:rsidRPr="005554BC">
        <w:t>Gradska plinara Zagreb d.o.o.;</w:t>
      </w:r>
    </w:p>
    <w:p w14:paraId="1BFB7A49" w14:textId="77777777" w:rsidR="00E038AC" w:rsidRPr="005554BC" w:rsidRDefault="00E038AC" w:rsidP="00E038AC">
      <w:pPr>
        <w:ind w:left="360"/>
        <w:jc w:val="both"/>
      </w:pPr>
      <w:r w:rsidRPr="005554BC">
        <w:t>Gradska plinara Zagreb Opskrba d.o.o.;</w:t>
      </w:r>
    </w:p>
    <w:p w14:paraId="198F15FE" w14:textId="77777777" w:rsidR="00E038AC" w:rsidRPr="005554BC" w:rsidRDefault="00E038AC" w:rsidP="00E038AC">
      <w:pPr>
        <w:ind w:left="360"/>
        <w:jc w:val="both"/>
      </w:pPr>
      <w:r w:rsidRPr="005554BC">
        <w:t>Gradsko stambeno komunalno gospodarstvo d.o.o.;</w:t>
      </w:r>
    </w:p>
    <w:p w14:paraId="214B7217" w14:textId="77777777" w:rsidR="00E038AC" w:rsidRPr="005554BC" w:rsidRDefault="00E038AC" w:rsidP="00E038AC">
      <w:pPr>
        <w:ind w:left="360"/>
        <w:jc w:val="both"/>
      </w:pPr>
      <w:r w:rsidRPr="005554BC">
        <w:t>Robni terminali Zagreb;</w:t>
      </w:r>
    </w:p>
    <w:p w14:paraId="66649466" w14:textId="77777777" w:rsidR="00E038AC" w:rsidRPr="005554BC" w:rsidRDefault="00E038AC" w:rsidP="00E038AC">
      <w:pPr>
        <w:ind w:left="360"/>
        <w:jc w:val="both"/>
      </w:pPr>
      <w:r w:rsidRPr="005554BC">
        <w:t>Upravljanje nekretninama;</w:t>
      </w:r>
    </w:p>
    <w:p w14:paraId="3B9E082A" w14:textId="77777777" w:rsidR="00E038AC" w:rsidRPr="005554BC" w:rsidRDefault="00E038AC" w:rsidP="00E038AC">
      <w:pPr>
        <w:ind w:left="360"/>
        <w:jc w:val="both"/>
      </w:pPr>
      <w:r w:rsidRPr="005554BC">
        <w:t>Upravljanje projektima;</w:t>
      </w:r>
    </w:p>
    <w:p w14:paraId="38ABF771" w14:textId="77777777" w:rsidR="00E038AC" w:rsidRPr="005554BC" w:rsidRDefault="00E038AC" w:rsidP="00E038AC">
      <w:pPr>
        <w:ind w:left="360"/>
        <w:jc w:val="both"/>
      </w:pPr>
      <w:r w:rsidRPr="005554BC">
        <w:t>Tržnice Zagreb;</w:t>
      </w:r>
    </w:p>
    <w:p w14:paraId="38408F21" w14:textId="77777777" w:rsidR="00E038AC" w:rsidRPr="005554BC" w:rsidRDefault="00E038AC" w:rsidP="00E038AC">
      <w:pPr>
        <w:ind w:left="360"/>
        <w:jc w:val="both"/>
      </w:pPr>
      <w:r w:rsidRPr="005554BC">
        <w:t>Vladimir Nazor;</w:t>
      </w:r>
    </w:p>
    <w:p w14:paraId="1FBFC01A" w14:textId="77777777" w:rsidR="00E038AC" w:rsidRPr="005554BC" w:rsidRDefault="00E038AC" w:rsidP="00E038AC">
      <w:pPr>
        <w:ind w:left="360"/>
        <w:jc w:val="both"/>
      </w:pPr>
      <w:r w:rsidRPr="005554BC">
        <w:t>Vodoopskrba i odvodnja d.o.o.</w:t>
      </w:r>
    </w:p>
    <w:p w14:paraId="1A397A7E" w14:textId="77777777" w:rsidR="00E038AC" w:rsidRPr="005554BC" w:rsidRDefault="00E038AC" w:rsidP="00E038AC">
      <w:pPr>
        <w:ind w:left="360"/>
        <w:jc w:val="both"/>
      </w:pPr>
      <w:r w:rsidRPr="005554BC">
        <w:t>Zagreb plakat d.o.o.;</w:t>
      </w:r>
    </w:p>
    <w:p w14:paraId="2A1CED78" w14:textId="77777777" w:rsidR="00E038AC" w:rsidRPr="005554BC" w:rsidRDefault="00E038AC" w:rsidP="00E038AC">
      <w:pPr>
        <w:ind w:left="360"/>
        <w:jc w:val="both"/>
      </w:pPr>
      <w:r w:rsidRPr="005554BC">
        <w:t>Zagrebačka stanogradnja d.o.o.;</w:t>
      </w:r>
    </w:p>
    <w:p w14:paraId="32CEE930" w14:textId="77777777" w:rsidR="00E038AC" w:rsidRPr="005554BC" w:rsidRDefault="00E038AC" w:rsidP="00E038AC">
      <w:pPr>
        <w:ind w:left="360"/>
        <w:jc w:val="both"/>
      </w:pPr>
      <w:r w:rsidRPr="005554BC">
        <w:t>Zagrebparking;</w:t>
      </w:r>
    </w:p>
    <w:p w14:paraId="46D4B30C" w14:textId="77777777" w:rsidR="00E038AC" w:rsidRPr="005554BC" w:rsidRDefault="00E038AC" w:rsidP="00E038AC">
      <w:pPr>
        <w:ind w:left="360"/>
        <w:jc w:val="both"/>
      </w:pPr>
      <w:r w:rsidRPr="005554BC">
        <w:t>Zagrebačke ceste;</w:t>
      </w:r>
    </w:p>
    <w:p w14:paraId="68E5C0AD" w14:textId="77777777" w:rsidR="00E038AC" w:rsidRPr="005554BC" w:rsidRDefault="00E038AC" w:rsidP="00E038AC">
      <w:pPr>
        <w:ind w:left="360"/>
        <w:jc w:val="both"/>
      </w:pPr>
      <w:r w:rsidRPr="005554BC">
        <w:t>Zagrebački digitalni grad;</w:t>
      </w:r>
    </w:p>
    <w:p w14:paraId="511DAD93" w14:textId="77777777" w:rsidR="00E038AC" w:rsidRPr="005554BC" w:rsidRDefault="00E038AC" w:rsidP="00E038AC">
      <w:pPr>
        <w:ind w:left="360"/>
        <w:jc w:val="both"/>
      </w:pPr>
      <w:r w:rsidRPr="005554BC">
        <w:lastRenderedPageBreak/>
        <w:t>Zagrebački električni tramvaj – ZET;</w:t>
      </w:r>
    </w:p>
    <w:p w14:paraId="7A98BC7C" w14:textId="77777777" w:rsidR="00E038AC" w:rsidRPr="005554BC" w:rsidRDefault="00E038AC" w:rsidP="00E038AC">
      <w:pPr>
        <w:ind w:left="360"/>
        <w:jc w:val="both"/>
      </w:pPr>
      <w:r w:rsidRPr="005554BC">
        <w:t>Zagrebački velesajam;</w:t>
      </w:r>
    </w:p>
    <w:p w14:paraId="5083EA51" w14:textId="77777777" w:rsidR="00E038AC" w:rsidRPr="00165488" w:rsidRDefault="00E038AC" w:rsidP="00E038AC">
      <w:pPr>
        <w:ind w:left="360"/>
        <w:jc w:val="both"/>
      </w:pPr>
      <w:r w:rsidRPr="00165488">
        <w:t>ZGOS d.o.o.;</w:t>
      </w:r>
    </w:p>
    <w:p w14:paraId="6FC0F645" w14:textId="77777777" w:rsidR="00E038AC" w:rsidRPr="00165488" w:rsidRDefault="00E038AC" w:rsidP="00E038AC">
      <w:pPr>
        <w:ind w:left="360"/>
        <w:jc w:val="both"/>
      </w:pPr>
      <w:r w:rsidRPr="00165488">
        <w:t>Zrinjevac;</w:t>
      </w:r>
    </w:p>
    <w:p w14:paraId="58B4B4E5" w14:textId="77777777" w:rsidR="00E038AC" w:rsidRPr="00165488" w:rsidRDefault="00E038AC" w:rsidP="00E038AC">
      <w:pPr>
        <w:pStyle w:val="NoSpacing"/>
        <w:spacing w:after="240" w:line="276" w:lineRule="auto"/>
        <w:ind w:left="360"/>
      </w:pPr>
      <w:r w:rsidRPr="00165488">
        <w:t>Službene stranice Zagrebačkog holdinga d.o.o. -  podružnice ZET;</w:t>
      </w:r>
    </w:p>
    <w:p w14:paraId="278C8A89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t>HŽ Putnički prijevoz d.o.o.;</w:t>
      </w:r>
    </w:p>
    <w:p w14:paraId="55AB7F56" w14:textId="77777777" w:rsidR="00E038AC" w:rsidRPr="00E038AC" w:rsidRDefault="00E038AC" w:rsidP="00E038AC">
      <w:pPr>
        <w:pStyle w:val="NoSpacing"/>
        <w:spacing w:after="240" w:line="276" w:lineRule="auto"/>
        <w:ind w:left="360"/>
      </w:pPr>
      <w:r w:rsidRPr="00E038AC">
        <w:t>Odluka o prijevozu putnika u javnom prometu (20/13, 25/13).</w:t>
      </w:r>
    </w:p>
    <w:p w14:paraId="2F40F0B7" w14:textId="77777777" w:rsidR="00E038AC" w:rsidRPr="00E038AC" w:rsidRDefault="00C343AD" w:rsidP="00E038AC">
      <w:pPr>
        <w:ind w:left="360"/>
        <w:jc w:val="both"/>
        <w:rPr>
          <w:rStyle w:val="Hyperlink"/>
          <w:rFonts w:eastAsia="Times New Roman" w:cs="Arial"/>
          <w:color w:val="auto"/>
        </w:rPr>
      </w:pPr>
      <w:hyperlink r:id="rId15" w:history="1">
        <w:r w:rsidR="00E038AC" w:rsidRPr="00E038AC">
          <w:rPr>
            <w:rStyle w:val="Hyperlink"/>
            <w:rFonts w:eastAsia="Times New Roman" w:cs="Arial"/>
            <w:color w:val="auto"/>
          </w:rPr>
          <w:t>http://www.zet.hr/UserDocsImages/Dokumenti%20i%20obrasci%20za%20preuzimanje/Odredbe%20i%20pravilnici/Odluka%20o%20prijevozu%20putnika%20u%20javnom%20prometu.pdf</w:t>
        </w:r>
      </w:hyperlink>
    </w:p>
    <w:p w14:paraId="695F7A97" w14:textId="77777777" w:rsidR="00E038AC" w:rsidRPr="00E038AC" w:rsidRDefault="00E038AC" w:rsidP="00E038AC">
      <w:pPr>
        <w:ind w:left="360"/>
        <w:jc w:val="both"/>
        <w:rPr>
          <w:rStyle w:val="Hyperlink"/>
          <w:rFonts w:eastAsia="Times New Roman" w:cs="Arial"/>
          <w:color w:val="auto"/>
        </w:rPr>
      </w:pPr>
      <w:r w:rsidRPr="00E038AC">
        <w:rPr>
          <w:rStyle w:val="Hyperlink"/>
          <w:rFonts w:eastAsia="Times New Roman" w:cs="Arial"/>
          <w:color w:val="auto"/>
        </w:rPr>
        <w:t>Nastavni zavod za hitnu medicinu Grada Zagreba;</w:t>
      </w:r>
    </w:p>
    <w:p w14:paraId="0EEED218" w14:textId="77777777" w:rsidR="00E038AC" w:rsidRPr="00E038AC" w:rsidRDefault="00E038AC" w:rsidP="00E038AC">
      <w:pPr>
        <w:ind w:left="360"/>
        <w:jc w:val="both"/>
        <w:rPr>
          <w:rStyle w:val="Hyperlink"/>
          <w:rFonts w:eastAsia="Times New Roman" w:cs="Arial"/>
          <w:color w:val="auto"/>
        </w:rPr>
      </w:pPr>
      <w:r w:rsidRPr="00E038AC">
        <w:t>Javna vatrogasna postrojba Grada Zagreba, Zagreb, Savska cesta broj 1;</w:t>
      </w:r>
    </w:p>
    <w:p w14:paraId="7AFE9105" w14:textId="77777777" w:rsidR="00E038AC" w:rsidRPr="00E038AC" w:rsidRDefault="00E038AC" w:rsidP="00E038AC">
      <w:pPr>
        <w:ind w:left="360"/>
        <w:jc w:val="both"/>
        <w:rPr>
          <w:rStyle w:val="Hyperlink"/>
          <w:rFonts w:eastAsia="Times New Roman" w:cstheme="minorHAnsi"/>
          <w:color w:val="auto"/>
        </w:rPr>
      </w:pPr>
      <w:r w:rsidRPr="00E038AC">
        <w:rPr>
          <w:rFonts w:cstheme="minorHAnsi"/>
        </w:rPr>
        <w:t>Ustanova Upravljanje sportskim objektima;</w:t>
      </w:r>
    </w:p>
    <w:p w14:paraId="130E76C3" w14:textId="77777777" w:rsidR="00E038AC" w:rsidRPr="00E038AC" w:rsidRDefault="00E038AC" w:rsidP="00E038AC">
      <w:pPr>
        <w:ind w:left="360"/>
        <w:jc w:val="both"/>
        <w:rPr>
          <w:rStyle w:val="Hyperlink"/>
          <w:rFonts w:eastAsia="Times New Roman" w:cs="Arial"/>
          <w:color w:val="auto"/>
        </w:rPr>
      </w:pPr>
      <w:r w:rsidRPr="00E038AC">
        <w:rPr>
          <w:rStyle w:val="Hyperlink"/>
          <w:rFonts w:eastAsia="Times New Roman" w:cs="Arial"/>
          <w:color w:val="auto"/>
        </w:rPr>
        <w:t>Ustanova Zoološki Vrt Grada Zagreba;</w:t>
      </w:r>
    </w:p>
    <w:p w14:paraId="2CEED9C1" w14:textId="77777777" w:rsidR="00E038AC" w:rsidRPr="00E038AC" w:rsidRDefault="00E038AC" w:rsidP="00E038AC">
      <w:pPr>
        <w:ind w:left="360"/>
        <w:jc w:val="both"/>
        <w:rPr>
          <w:rStyle w:val="Hyperlink"/>
          <w:rFonts w:eastAsia="Times New Roman" w:cs="Arial"/>
          <w:color w:val="auto"/>
        </w:rPr>
      </w:pPr>
      <w:r w:rsidRPr="00E038AC">
        <w:rPr>
          <w:rStyle w:val="Hyperlink"/>
          <w:rFonts w:eastAsia="Times New Roman" w:cs="Arial"/>
          <w:color w:val="auto"/>
        </w:rPr>
        <w:t>Mali Dom Zagreb</w:t>
      </w:r>
    </w:p>
    <w:p w14:paraId="62247C74" w14:textId="77777777" w:rsidR="00E038AC" w:rsidRPr="00E038AC" w:rsidRDefault="00E038AC" w:rsidP="00E038AC">
      <w:pPr>
        <w:ind w:left="360"/>
        <w:jc w:val="both"/>
        <w:rPr>
          <w:rStyle w:val="Hyperlink"/>
          <w:rFonts w:eastAsia="Times New Roman" w:cs="Arial"/>
          <w:color w:val="auto"/>
        </w:rPr>
      </w:pPr>
      <w:r w:rsidRPr="00E038AC">
        <w:rPr>
          <w:rStyle w:val="Hyperlink"/>
          <w:rFonts w:eastAsia="Times New Roman" w:cs="Arial"/>
          <w:color w:val="auto"/>
        </w:rPr>
        <w:t>Knjižnice Zagreb</w:t>
      </w:r>
    </w:p>
    <w:p w14:paraId="2CC768F3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rPr>
          <w:rFonts w:ascii="Calibri" w:eastAsia="Calibri" w:hAnsi="Calibri" w:cs="Times New Roman"/>
        </w:rPr>
        <w:t>Državni zavod za statistiku;</w:t>
      </w:r>
    </w:p>
    <w:p w14:paraId="791200F3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rPr>
          <w:rFonts w:ascii="Calibri" w:eastAsia="Calibri" w:hAnsi="Calibri" w:cs="Times New Roman"/>
        </w:rPr>
        <w:t>HEP - TOPLINARSTVO d.o.o.;</w:t>
      </w:r>
    </w:p>
    <w:p w14:paraId="42BB5FD7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rPr>
          <w:rFonts w:ascii="Calibri" w:eastAsia="Calibri" w:hAnsi="Calibri" w:cs="Times New Roman"/>
        </w:rPr>
        <w:t>Agencija za podršku informacijskim sustavima i informacijskim tehnologijama (APIS IT d.o.o.);</w:t>
      </w:r>
    </w:p>
    <w:p w14:paraId="295894CC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rPr>
          <w:rFonts w:ascii="Calibri" w:eastAsia="Calibri" w:hAnsi="Calibri" w:cs="Times New Roman"/>
        </w:rPr>
        <w:t>Gradska plinara Zagreb d.o.o. ;</w:t>
      </w:r>
    </w:p>
    <w:p w14:paraId="465119D8" w14:textId="77777777" w:rsidR="00E038AC" w:rsidRPr="00E038AC" w:rsidRDefault="00E038AC" w:rsidP="00E038AC">
      <w:pPr>
        <w:ind w:left="360"/>
        <w:jc w:val="both"/>
        <w:rPr>
          <w:rFonts w:ascii="Calibri" w:eastAsia="Calibri" w:hAnsi="Calibri" w:cs="Times New Roman"/>
        </w:rPr>
      </w:pPr>
      <w:r w:rsidRPr="00E038AC">
        <w:rPr>
          <w:rFonts w:ascii="Calibri" w:eastAsia="Calibri" w:hAnsi="Calibri" w:cs="Times New Roman"/>
        </w:rPr>
        <w:t>HEP - OPERATOR DISTRIBUCIJSKOG SUSTAVA d.o.o.</w:t>
      </w:r>
    </w:p>
    <w:p w14:paraId="3059551A" w14:textId="77777777" w:rsidR="00E038AC" w:rsidRPr="00E038AC" w:rsidRDefault="00E038AC" w:rsidP="00E038AC">
      <w:pPr>
        <w:ind w:left="360"/>
        <w:jc w:val="both"/>
      </w:pPr>
      <w:r w:rsidRPr="00E038AC">
        <w:t>Izvješće o izvršenju programa radova kapitalnih ulaganja u objekte društvenih djelatnosti u Gradu Zagrebu, Gradski ured za prostorno uređenje, izgradnju Grada, graditeljstvo, komunalne poslove i promet;</w:t>
      </w:r>
    </w:p>
    <w:p w14:paraId="6E2293EB" w14:textId="77777777" w:rsidR="00E038AC" w:rsidRPr="00165488" w:rsidRDefault="00E038AC" w:rsidP="00E038AC">
      <w:pPr>
        <w:ind w:left="360"/>
        <w:jc w:val="both"/>
      </w:pPr>
      <w:r w:rsidRPr="00165488">
        <w:t>Izvješće o izvršenju programa radova kapitalnih ulaganja u objekte društvenih djelatnost</w:t>
      </w:r>
      <w:r>
        <w:t>i u Gradu Zagrebu</w:t>
      </w:r>
      <w:r w:rsidRPr="00165488">
        <w:t>, Gradski ured za prostorno uređenje, izgradnju Grada, graditeljstvo, komunalne poslove i promet;</w:t>
      </w:r>
    </w:p>
    <w:p w14:paraId="3F919788" w14:textId="77777777" w:rsidR="00E038AC" w:rsidRPr="00165488" w:rsidRDefault="00E038AC" w:rsidP="00E038AC">
      <w:pPr>
        <w:ind w:left="360"/>
        <w:jc w:val="both"/>
      </w:pPr>
      <w:r w:rsidRPr="00165488">
        <w:t>Godišnji izvještaji o izvršenju Proračuna Grada Zagreba;</w:t>
      </w:r>
    </w:p>
    <w:p w14:paraId="454D7649" w14:textId="72119370" w:rsidR="00E038AC" w:rsidRDefault="00E038AC" w:rsidP="00E038AC">
      <w:pPr>
        <w:spacing w:after="240"/>
        <w:ind w:left="360"/>
        <w:jc w:val="both"/>
      </w:pPr>
      <w:r w:rsidRPr="00165488">
        <w:t>Fond za zaštitu okoliša i energetsku učinkovitost.</w:t>
      </w:r>
    </w:p>
    <w:p w14:paraId="4B3479A2" w14:textId="77777777" w:rsidR="00096E32" w:rsidRDefault="00096E32">
      <w:r>
        <w:br w:type="page"/>
      </w:r>
    </w:p>
    <w:p w14:paraId="1521254E" w14:textId="041D2EF8" w:rsidR="00E038AC" w:rsidRDefault="00E038AC" w:rsidP="00E038AC">
      <w:pPr>
        <w:pStyle w:val="Heading1"/>
      </w:pPr>
      <w:r>
        <w:lastRenderedPageBreak/>
        <w:t>Izvori podataka za izradu Akcijskog plana energetski održivog razvitka i prilagodbe klimatskim promjenama Grada Zagreba – SECAP-a</w:t>
      </w:r>
    </w:p>
    <w:p w14:paraId="141AAA2C" w14:textId="77777777" w:rsidR="00E038AC" w:rsidRDefault="00E038AC" w:rsidP="00612C3A"/>
    <w:p w14:paraId="372B11B8" w14:textId="43F11E0D" w:rsidR="00612C3A" w:rsidRPr="00612C3A" w:rsidRDefault="00096E32" w:rsidP="00612C3A">
      <w:r>
        <w:t>Podatci za potrebe izrade ovog dokumenta prikupljeni su od sljedećih izvora:</w:t>
      </w:r>
    </w:p>
    <w:p w14:paraId="0A539FD5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Gradski ured za energetiku, zaštitu okoliša i održivi razvoj;</w:t>
      </w:r>
    </w:p>
    <w:p w14:paraId="452755A4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Akcijski plan energetski održivog razvitka Grada Zagreba (SEAP);</w:t>
      </w:r>
    </w:p>
    <w:p w14:paraId="110D5550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Revizija Akcijskog plana energetski održivog razvitka Grada Zagreba (SEAP-a);</w:t>
      </w:r>
    </w:p>
    <w:p w14:paraId="478EA4A5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Godišnji plan energetske učinkovitosti Grada Zagreba za 2016. godinu;</w:t>
      </w:r>
    </w:p>
    <w:p w14:paraId="464F2BD4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Godišnji plan energetske učinkovitosti Grada Zagreba za 2017. godinu;</w:t>
      </w:r>
    </w:p>
    <w:p w14:paraId="66512E58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Akcijski plan energetske učinkovitosti Grada Zagreba za razdoblje 2017. - 2019.;</w:t>
      </w:r>
    </w:p>
    <w:p w14:paraId="536BC700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Smjernice za izradu Akcijskog plana energetski održivog razvitka i klimatskih promjena (</w:t>
      </w:r>
      <w:r w:rsidRPr="00E038AC">
        <w:rPr>
          <w:i/>
        </w:rPr>
        <w:t xml:space="preserve">engl. </w:t>
      </w:r>
      <w:r w:rsidRPr="00E038AC">
        <w:rPr>
          <w:i/>
          <w:lang w:val="en-GB"/>
        </w:rPr>
        <w:t>The Covenant of Mayors for Climate and Energy Reporting Guidelines</w:t>
      </w:r>
      <w:r w:rsidRPr="00383A74">
        <w:t>);</w:t>
      </w:r>
    </w:p>
    <w:p w14:paraId="68BE2D74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Službene stranice Ureda Sporazuma;</w:t>
      </w:r>
    </w:p>
    <w:p w14:paraId="62E2AEE7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Stručne podloge za izradu Strategije niskougljičnog razvoja Republike Hrvatske za razdoblje do 2030. s pogledom na 2050. godinu, Zelena knjiga, EKONERG – institut za energetiku i zaštitu okoliša d.o.o.;</w:t>
      </w:r>
    </w:p>
    <w:p w14:paraId="2D5CC61C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Strategija niskougljičnog razvoja Republike Hrvatske za razdoblje do 2030. s pogledom na 2050. godinu, EKONERG – institut za energetiku i zaštitu okoliša d.o.o.;</w:t>
      </w:r>
    </w:p>
    <w:p w14:paraId="5B28F31E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Plan prilagodbe klimatskim promjenama Grada Zagreba, Energetski institut Hrvoje Požar, srpanj 2014.;</w:t>
      </w:r>
    </w:p>
    <w:p w14:paraId="4D03A2A9" w14:textId="77777777" w:rsidR="00612C3A" w:rsidRPr="00383A74" w:rsidRDefault="00612C3A" w:rsidP="00E038AC">
      <w:pPr>
        <w:spacing w:line="240" w:lineRule="auto"/>
        <w:ind w:left="360"/>
        <w:jc w:val="both"/>
      </w:pPr>
      <w:r w:rsidRPr="00E038AC">
        <w:rPr>
          <w:i/>
        </w:rPr>
        <w:t>Climate Change 2013: The Physical Science Basis. Contribution of Working Group I to the Fifth Assessment Report of the Intergovernmental Panel on Climate Change</w:t>
      </w:r>
      <w:r w:rsidRPr="00383A74">
        <w:t xml:space="preserve"> (IPCC, 2013);</w:t>
      </w:r>
    </w:p>
    <w:p w14:paraId="1F84024A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Pravilnik o smjernicama za izradu procjena rizika od katastrofa i velikih nesreća za područje Republike Hrvatske i jedinica lokalne i područne (regionalne) samouprave, NN 65/2016;</w:t>
      </w:r>
    </w:p>
    <w:p w14:paraId="2658A302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Baza podataka: Energetika_mjesečne_sve_REGCM-GRELL-50km_HIST-RCP45</w:t>
      </w:r>
    </w:p>
    <w:p w14:paraId="31723A33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Statistički ljetopis Grada Zagreba 2016.;</w:t>
      </w:r>
    </w:p>
    <w:p w14:paraId="062F9265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Državni hidrometeorološki zavod – službene stranice;</w:t>
      </w:r>
    </w:p>
    <w:p w14:paraId="6A0FD454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Institut za medicinska istraživanja i medicinu rada;</w:t>
      </w:r>
    </w:p>
    <w:p w14:paraId="7C5177B9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Zakon o zaštiti okoliša (Narodne novine, broj 80/2013, 78/15)</w:t>
      </w:r>
    </w:p>
    <w:p w14:paraId="5C6AF2E9" w14:textId="77777777" w:rsidR="00612C3A" w:rsidRPr="00383A74" w:rsidRDefault="00612C3A" w:rsidP="00E038AC">
      <w:pPr>
        <w:spacing w:line="240" w:lineRule="auto"/>
        <w:ind w:left="360"/>
        <w:jc w:val="both"/>
      </w:pPr>
      <w:r w:rsidRPr="00383A74">
        <w:t>Zakon o zaštiti zraka (Narodne novine, broj 130/11, 47/14, 61/2017);</w:t>
      </w:r>
    </w:p>
    <w:p w14:paraId="0DF5B47B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>Branković</w:t>
      </w:r>
      <w:r w:rsidRPr="00383A74">
        <w:t xml:space="preserve"> Č., Güttler I., Patarčić M., Srnec L. 2010: </w:t>
      </w:r>
      <w:r w:rsidRPr="00E038AC">
        <w:rPr>
          <w:i/>
        </w:rPr>
        <w:t xml:space="preserve">Climate Change Impacts and Adaptation Measures - </w:t>
      </w:r>
      <w:r w:rsidRPr="00E038AC">
        <w:rPr>
          <w:i/>
          <w:lang w:val="en-GB"/>
        </w:rPr>
        <w:t xml:space="preserve">Climate Change scenario. U: Fifth National Communication of the Republic of Croatia under the United Nation Framework Convention on the Climate Change, Ministry of Environmental Protection, Physical Planning and Construction, 152-166. </w:t>
      </w:r>
    </w:p>
    <w:p w14:paraId="26199260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383A74">
        <w:lastRenderedPageBreak/>
        <w:t>Branković Č., Patarčić, M</w:t>
      </w:r>
      <w:r w:rsidRPr="00E038AC">
        <w:rPr>
          <w:lang w:val="en-GB"/>
        </w:rPr>
        <w:t xml:space="preserve">., Güttler I., Srnec L. 2012: </w:t>
      </w:r>
      <w:r w:rsidRPr="00E038AC">
        <w:rPr>
          <w:i/>
          <w:lang w:val="en-GB"/>
        </w:rPr>
        <w:t xml:space="preserve">Near-future climate change over Europe with focus on Croatia in an ensemble of regional climate model simulations. Climate Research, 52, 227-251. </w:t>
      </w:r>
    </w:p>
    <w:p w14:paraId="3E112F7D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Marsland G.A., Haak H., Jungclaus J.H., Latif M., Röske F. 2003: The </w:t>
      </w:r>
      <w:r w:rsidRPr="00E038AC">
        <w:rPr>
          <w:i/>
          <w:lang w:val="en-GB"/>
        </w:rPr>
        <w:t>Max Planck Institute global/sea-ice model with orthogonal curvilinear coordinates. Ocean Model 5, 91-127.</w:t>
      </w:r>
    </w:p>
    <w:p w14:paraId="3457943F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Pal J. i 19 suradnika (2007): </w:t>
      </w:r>
      <w:r w:rsidRPr="00E038AC">
        <w:rPr>
          <w:i/>
          <w:lang w:val="en-GB"/>
        </w:rPr>
        <w:t xml:space="preserve">Regional climate modeling for the developing world. The ICTP RegCM3 and RegCNET. Bulletin of the American Meteorological Society 88, 1395-1409. </w:t>
      </w:r>
    </w:p>
    <w:p w14:paraId="1EDEF374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Roeckner E., Bäuml G., Bonaventura L., Brokopf R., Esch M., Giorgetta M., Hagemann S., Kirchner I., Kornblueh L., Manzini E., Rhodin A., Schlese U., Schulzweida U., Tompkins A. 2003: </w:t>
      </w:r>
      <w:r w:rsidRPr="00E038AC">
        <w:rPr>
          <w:i/>
          <w:lang w:val="en-GB"/>
        </w:rPr>
        <w:t>The atmospheric general circulation model ECHAM5. Part I: model description. Max-Planck Institute for Meteorology Rep. 349, Hamburg, 127 str.</w:t>
      </w:r>
    </w:p>
    <w:p w14:paraId="6A2E7651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Branković Č., Srnec L., Patarčić M. 2010: </w:t>
      </w:r>
      <w:r w:rsidRPr="00E038AC">
        <w:rPr>
          <w:i/>
          <w:lang w:val="en-GB"/>
        </w:rPr>
        <w:t>An assessment of global and regional climate change based on the EH5OM climate model ensemble. Climatic Change 98, 21-49.</w:t>
      </w:r>
    </w:p>
    <w:p w14:paraId="137DDEB7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Marsland G.A., Haak H., Jungclaus J.H., Latif M., Röske F. 2003: </w:t>
      </w:r>
      <w:r w:rsidRPr="00E038AC">
        <w:rPr>
          <w:i/>
          <w:lang w:val="en-GB"/>
        </w:rPr>
        <w:t>The Max Planck Institute global/sea-ice model with orthogonal curvilinear coordinates. Ocean Model 5, 91-127.</w:t>
      </w:r>
    </w:p>
    <w:p w14:paraId="5ED5CB6D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Roeckner E., Bäuml G., Bonaventura L., Brokopf R., Esch M., Giorgetta M., Hagemann S., Kirchner I., Kornblueh L., Manzini E., Rhodin A., Schlese U., Schulzweida U., Tompkins A. 2003: </w:t>
      </w:r>
      <w:r w:rsidRPr="00E038AC">
        <w:rPr>
          <w:i/>
          <w:lang w:val="en-GB"/>
        </w:rPr>
        <w:t>The atmospheric general circulation model ECHAM5. Part I: model description. Max-Planck Institute for Meteorology Rep. 349, Hamburg, 127 st</w:t>
      </w:r>
    </w:p>
    <w:p w14:paraId="4AE9F03C" w14:textId="77777777" w:rsidR="00612C3A" w:rsidRPr="00E038AC" w:rsidRDefault="00612C3A" w:rsidP="00E038AC">
      <w:pPr>
        <w:spacing w:line="240" w:lineRule="auto"/>
        <w:ind w:left="360"/>
        <w:jc w:val="both"/>
        <w:rPr>
          <w:lang w:val="en-GB"/>
        </w:rPr>
      </w:pPr>
      <w:r w:rsidRPr="00E038AC">
        <w:rPr>
          <w:i/>
          <w:lang w:val="en-GB"/>
        </w:rPr>
        <w:t>Intergovernmental Panel on Climate Change (IPCC) 2007: Climate Change 2007: The Physical Science Basis. Contribution of Working Group I to the Fourth Assessment Report of the Intergovernmental Panel on Climate Change</w:t>
      </w:r>
      <w:r w:rsidRPr="00E038AC">
        <w:rPr>
          <w:lang w:val="en-GB"/>
        </w:rPr>
        <w:t xml:space="preserve"> [Solomon, S., D. Qin, M. Manning, Z. Chen, M. Marquis, K.B. Averyt, M. Tignor and H.L. Miller (eds.)]. Cambridge University Press, Cambridge, United Kingdom and New York, NY, USA, 996 str.</w:t>
      </w:r>
    </w:p>
    <w:p w14:paraId="0BB20D42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 xml:space="preserve">Meehl G.A., Stocker T.F., Collins W.D., Friedlingstein P., Gaye A.T., Gregory J.M., Kitoh A., Knutti R., Murphy J.M., Noda A., Raper S.C.B., Watterson I.G., Weaver A.J., Zhao Z.-C. 2007: </w:t>
      </w:r>
      <w:r w:rsidRPr="00E038AC">
        <w:rPr>
          <w:i/>
          <w:lang w:val="en-GB"/>
        </w:rPr>
        <w:t>Global Climate Projections. U: Climate Change 2007: The Physical Science Basis. Contribution of Working Group I to the Fourth Assessment Report of the Intergovernmental Panel on Climate Change</w:t>
      </w:r>
      <w:r w:rsidRPr="00E038AC">
        <w:rPr>
          <w:lang w:val="en-GB"/>
        </w:rPr>
        <w:t xml:space="preserve"> [Solomon, S., D. Qin, M. Manning, Z. Chen, M. Marquis, K.B. Averyt, M. Tignor and H.L. Miller (eds.)]. </w:t>
      </w:r>
      <w:r w:rsidRPr="00E038AC">
        <w:rPr>
          <w:i/>
          <w:lang w:val="en-GB"/>
        </w:rPr>
        <w:t>Cambridge University Press, Cambridge, United Kingdom and New York, NY, USA, 996 str.</w:t>
      </w:r>
    </w:p>
    <w:p w14:paraId="48B36030" w14:textId="77777777" w:rsidR="00612C3A" w:rsidRPr="00E038AC" w:rsidRDefault="00612C3A" w:rsidP="00E038AC">
      <w:pPr>
        <w:spacing w:line="240" w:lineRule="auto"/>
        <w:ind w:left="360"/>
        <w:jc w:val="both"/>
        <w:rPr>
          <w:i/>
          <w:lang w:val="en-GB"/>
        </w:rPr>
      </w:pPr>
      <w:r w:rsidRPr="00E038AC">
        <w:rPr>
          <w:lang w:val="en-GB"/>
        </w:rPr>
        <w:t>Nakićenović N. i 27 suradnika 2000</w:t>
      </w:r>
      <w:r w:rsidRPr="00E038AC">
        <w:rPr>
          <w:i/>
          <w:lang w:val="en-GB"/>
        </w:rPr>
        <w:t>: Special Report on Emissions Scenarios. A Special Report of Working Group III of the Intergovernmental Panel on Climate Change. Cambridge University Press, Cambridge, United Kingdom and New York, NY, USA, 599 str.</w:t>
      </w:r>
    </w:p>
    <w:p w14:paraId="247DE8A8" w14:textId="77777777" w:rsidR="00612C3A" w:rsidRPr="00E038AC" w:rsidRDefault="00612C3A" w:rsidP="00E038AC">
      <w:pPr>
        <w:spacing w:line="240" w:lineRule="auto"/>
        <w:ind w:left="360"/>
        <w:jc w:val="both"/>
        <w:rPr>
          <w:lang w:val="en-GB"/>
        </w:rPr>
      </w:pPr>
      <w:r w:rsidRPr="00E038AC">
        <w:rPr>
          <w:lang w:val="en-GB"/>
        </w:rPr>
        <w:t>Marsland G.A., Haak H., Jungclaus J.H., Latif M., Röske F. 2003: The Max Planck Institute global/sea-ice model with orthogonal curvilinear coordinates. Ocean Model 5, 91-127.</w:t>
      </w:r>
    </w:p>
    <w:p w14:paraId="0D5338FF" w14:textId="77777777" w:rsidR="00612C3A" w:rsidRPr="00E038AC" w:rsidRDefault="00612C3A" w:rsidP="00E038AC">
      <w:pPr>
        <w:spacing w:line="240" w:lineRule="auto"/>
        <w:ind w:left="360"/>
        <w:jc w:val="both"/>
        <w:rPr>
          <w:i/>
        </w:rPr>
      </w:pPr>
      <w:r w:rsidRPr="00383A74">
        <w:t xml:space="preserve">Roeckner E., Bäuml G., Bonaventura L., Brokopf R., Esch M., Giorgetta M., Hagemann S., Kirchner I., Kornblueh L., Manzini E., Rhodin A., Schlese U., Schulzweida U., Tompkins A. 2003: The atmospheric general circulation model ECHAM5. </w:t>
      </w:r>
      <w:r w:rsidRPr="00E038AC">
        <w:rPr>
          <w:i/>
        </w:rPr>
        <w:t xml:space="preserve">Part I: model </w:t>
      </w:r>
      <w:r w:rsidRPr="00E038AC">
        <w:rPr>
          <w:i/>
          <w:lang w:val="en-GB"/>
        </w:rPr>
        <w:t>description. Max-Planck Institute for Meteorology</w:t>
      </w:r>
      <w:r w:rsidRPr="00E038AC">
        <w:rPr>
          <w:i/>
        </w:rPr>
        <w:t xml:space="preserve"> Rep. 349, Hamburg, 127 str.</w:t>
      </w:r>
    </w:p>
    <w:p w14:paraId="4CBE3872" w14:textId="77777777" w:rsidR="00612C3A" w:rsidRPr="00E038AC" w:rsidRDefault="00612C3A" w:rsidP="00E038AC">
      <w:pPr>
        <w:spacing w:line="240" w:lineRule="auto"/>
        <w:ind w:left="360"/>
        <w:jc w:val="both"/>
        <w:rPr>
          <w:i/>
        </w:rPr>
      </w:pPr>
      <w:r w:rsidRPr="00383A74">
        <w:t xml:space="preserve">Branković Č., Güttler I., Patarčić M., Srnec L. 2010: </w:t>
      </w:r>
      <w:r w:rsidRPr="00E038AC">
        <w:rPr>
          <w:i/>
        </w:rPr>
        <w:t xml:space="preserve">Climate Change Impacts and Adaptation Measures - </w:t>
      </w:r>
      <w:r w:rsidRPr="00E038AC">
        <w:rPr>
          <w:i/>
          <w:lang w:val="en-GB"/>
        </w:rPr>
        <w:t>Climate Change scenario</w:t>
      </w:r>
      <w:r w:rsidRPr="00E038AC">
        <w:rPr>
          <w:i/>
        </w:rPr>
        <w:t xml:space="preserve">. U: Fifth National </w:t>
      </w:r>
      <w:r w:rsidRPr="00E038AC">
        <w:rPr>
          <w:i/>
          <w:lang w:val="en-GB"/>
        </w:rPr>
        <w:t xml:space="preserve">Communication of the Republic of Croatia </w:t>
      </w:r>
      <w:r w:rsidRPr="00E038AC">
        <w:rPr>
          <w:i/>
          <w:lang w:val="en-GB"/>
        </w:rPr>
        <w:lastRenderedPageBreak/>
        <w:t>under the United Nation Framework Convention on the Climate Change, Ministry of Environmental Protection, Physical Planning and Construction</w:t>
      </w:r>
      <w:r w:rsidRPr="00E038AC">
        <w:rPr>
          <w:i/>
        </w:rPr>
        <w:t xml:space="preserve">, 152-166. </w:t>
      </w:r>
    </w:p>
    <w:p w14:paraId="388854E4" w14:textId="77777777" w:rsidR="00612C3A" w:rsidRPr="00E038AC" w:rsidRDefault="00612C3A" w:rsidP="00E038AC">
      <w:pPr>
        <w:spacing w:line="240" w:lineRule="auto"/>
        <w:ind w:left="360"/>
        <w:jc w:val="both"/>
        <w:rPr>
          <w:i/>
        </w:rPr>
      </w:pPr>
      <w:r w:rsidRPr="00383A74">
        <w:t xml:space="preserve">Branković Č., Patarčić, M., Güttler I., Srnec L. 2012: </w:t>
      </w:r>
      <w:r w:rsidRPr="00E038AC">
        <w:rPr>
          <w:i/>
          <w:lang w:val="en-GB"/>
        </w:rPr>
        <w:t>Near-future climate change over Europe with focus on Croatia in an ensemble of regional climate model simulations. Climate Research</w:t>
      </w:r>
      <w:r w:rsidRPr="00E038AC">
        <w:rPr>
          <w:i/>
        </w:rPr>
        <w:t>, 52, 227-251.</w:t>
      </w:r>
    </w:p>
    <w:p w14:paraId="612D82BF" w14:textId="77777777" w:rsidR="00612C3A" w:rsidRPr="00E038AC" w:rsidRDefault="00612C3A" w:rsidP="00E038AC">
      <w:pPr>
        <w:spacing w:line="240" w:lineRule="auto"/>
        <w:ind w:left="360"/>
        <w:jc w:val="both"/>
        <w:rPr>
          <w:i/>
        </w:rPr>
      </w:pPr>
      <w:r w:rsidRPr="00E917B4">
        <w:t xml:space="preserve">Heaps, C.G., 2016. Long-range Energy Alternatives Planning (LEAP) system. [Software version: 2018.1.8] Stockholm Environment </w:t>
      </w:r>
      <w:r>
        <w:t xml:space="preserve">Institute. Somerville, MA, USA. </w:t>
      </w:r>
      <w:r w:rsidRPr="00E917B4">
        <w:t>https://www.energycommunity.org</w:t>
      </w:r>
    </w:p>
    <w:sectPr w:rsidR="00612C3A" w:rsidRPr="00E038AC" w:rsidSect="0012670D">
      <w:headerReference w:type="default" r:id="rId16"/>
      <w:footerReference w:type="default" r:id="rId17"/>
      <w:pgSz w:w="11906" w:h="16838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5CD3" w14:textId="77777777" w:rsidR="00C343AD" w:rsidRDefault="00C343AD" w:rsidP="005648B7">
      <w:pPr>
        <w:spacing w:after="0" w:line="240" w:lineRule="auto"/>
      </w:pPr>
      <w:r>
        <w:separator/>
      </w:r>
    </w:p>
  </w:endnote>
  <w:endnote w:type="continuationSeparator" w:id="0">
    <w:p w14:paraId="5340BC53" w14:textId="77777777" w:rsidR="00C343AD" w:rsidRDefault="00C343AD" w:rsidP="0056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21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D5C5B" w14:textId="093AD4DA" w:rsidR="00A42CFE" w:rsidRDefault="00A42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305D04" w14:textId="77777777" w:rsidR="00A42CFE" w:rsidRDefault="00A4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89F0" w14:textId="77777777" w:rsidR="00C343AD" w:rsidRDefault="00C343AD" w:rsidP="005648B7">
      <w:pPr>
        <w:spacing w:after="0" w:line="240" w:lineRule="auto"/>
      </w:pPr>
      <w:r>
        <w:separator/>
      </w:r>
    </w:p>
  </w:footnote>
  <w:footnote w:type="continuationSeparator" w:id="0">
    <w:p w14:paraId="1F6D7A2A" w14:textId="77777777" w:rsidR="00C343AD" w:rsidRDefault="00C343AD" w:rsidP="0056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DBF5" w14:textId="7C7EA893" w:rsidR="005648B7" w:rsidRDefault="0012670D" w:rsidP="005648B7">
    <w:pPr>
      <w:pStyle w:val="Header"/>
      <w:tabs>
        <w:tab w:val="clear" w:pos="4513"/>
        <w:tab w:val="clear" w:pos="9026"/>
        <w:tab w:val="left" w:pos="1515"/>
        <w:tab w:val="left" w:pos="2790"/>
      </w:tabs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20E5C30F" wp14:editId="75E5DC95">
          <wp:simplePos x="0" y="0"/>
          <wp:positionH relativeFrom="margin">
            <wp:posOffset>5020310</wp:posOffset>
          </wp:positionH>
          <wp:positionV relativeFrom="paragraph">
            <wp:posOffset>10795</wp:posOffset>
          </wp:positionV>
          <wp:extent cx="711200" cy="474345"/>
          <wp:effectExtent l="0" t="0" r="0" b="1905"/>
          <wp:wrapThrough wrapText="bothSides">
            <wp:wrapPolygon edited="0">
              <wp:start x="0" y="0"/>
              <wp:lineTo x="0" y="20819"/>
              <wp:lineTo x="20829" y="20819"/>
              <wp:lineTo x="20829" y="0"/>
              <wp:lineTo x="0" y="0"/>
            </wp:wrapPolygon>
          </wp:wrapThrough>
          <wp:docPr id="3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REGEA_radno_ Ivana\Brošure\CoM_2\slike\logo_convenato-of-mayo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b/>
        <w:bCs/>
        <w:noProof/>
        <w:color w:val="4F81BD"/>
        <w:sz w:val="2"/>
        <w:szCs w:val="2"/>
        <w:lang w:eastAsia="hr-HR"/>
      </w:rPr>
      <w:drawing>
        <wp:anchor distT="0" distB="0" distL="114300" distR="114300" simplePos="0" relativeHeight="251662336" behindDoc="1" locked="0" layoutInCell="1" allowOverlap="1" wp14:anchorId="06072178" wp14:editId="390D1138">
          <wp:simplePos x="0" y="0"/>
          <wp:positionH relativeFrom="column">
            <wp:posOffset>390525</wp:posOffset>
          </wp:positionH>
          <wp:positionV relativeFrom="paragraph">
            <wp:posOffset>9525</wp:posOffset>
          </wp:positionV>
          <wp:extent cx="371475" cy="438150"/>
          <wp:effectExtent l="0" t="0" r="9525" b="0"/>
          <wp:wrapNone/>
          <wp:docPr id="3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8B7" w:rsidRPr="002A30CD">
      <w:rPr>
        <w:noProof/>
        <w:sz w:val="18"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F1EDCD" wp14:editId="6AF61938">
              <wp:simplePos x="0" y="0"/>
              <wp:positionH relativeFrom="column">
                <wp:posOffset>797560</wp:posOffset>
              </wp:positionH>
              <wp:positionV relativeFrom="paragraph">
                <wp:posOffset>-16510</wp:posOffset>
              </wp:positionV>
              <wp:extent cx="3346450" cy="387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387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9B9BA" w14:textId="77777777" w:rsidR="005648B7" w:rsidRDefault="005648B7" w:rsidP="005648B7">
                          <w:pPr>
                            <w:pStyle w:val="HeaderRight"/>
                            <w:spacing w:after="0" w:line="240" w:lineRule="auto"/>
                            <w:jc w:val="both"/>
                            <w:rPr>
                              <w:rFonts w:eastAsia="Times New Roman"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18"/>
                            </w:rPr>
                            <w:t>A</w:t>
                          </w:r>
                          <w:r w:rsidRPr="00AD773C">
                            <w:rPr>
                              <w:rFonts w:eastAsia="Times New Roman"/>
                              <w:color w:val="auto"/>
                              <w:sz w:val="18"/>
                            </w:rPr>
                            <w:t xml:space="preserve">kcijski plan energetski održivog razvitka </w:t>
                          </w:r>
                        </w:p>
                        <w:p w14:paraId="2A66F29B" w14:textId="77777777" w:rsidR="005648B7" w:rsidRPr="00AD773C" w:rsidRDefault="005648B7" w:rsidP="005648B7">
                          <w:pPr>
                            <w:pStyle w:val="HeaderRight"/>
                            <w:jc w:val="both"/>
                            <w:rPr>
                              <w:color w:val="auto"/>
                              <w:sz w:val="18"/>
                            </w:rPr>
                          </w:pPr>
                          <w:r w:rsidRPr="00AD773C">
                            <w:rPr>
                              <w:rFonts w:eastAsia="Times New Roman"/>
                              <w:color w:val="auto"/>
                              <w:sz w:val="18"/>
                            </w:rPr>
                            <w:t>i prilagodbe klimatskim promjenama Grada Zagreba</w:t>
                          </w:r>
                          <w:r>
                            <w:rPr>
                              <w:rFonts w:eastAsia="Times New Roman"/>
                              <w:color w:val="auto"/>
                              <w:sz w:val="18"/>
                            </w:rPr>
                            <w:t xml:space="preserve"> - SECAP</w:t>
                          </w:r>
                        </w:p>
                        <w:p w14:paraId="4A75FC93" w14:textId="77777777" w:rsidR="005648B7" w:rsidRDefault="005648B7" w:rsidP="005648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F1EDC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2.8pt;margin-top:-1.3pt;width:263.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" filled="f" stroked="f">
              <v:textbox>
                <w:txbxContent>
                  <w:p w14:paraId="5F49B9BA" w14:textId="77777777" w:rsidR="005648B7" w:rsidRDefault="005648B7" w:rsidP="005648B7">
                    <w:pPr>
                      <w:pStyle w:val="HeaderRight"/>
                      <w:spacing w:after="0" w:line="240" w:lineRule="auto"/>
                      <w:jc w:val="both"/>
                      <w:rPr>
                        <w:rFonts w:eastAsia="Times New Roman"/>
                        <w:color w:val="auto"/>
                        <w:sz w:val="18"/>
                      </w:rPr>
                    </w:pPr>
                    <w:r>
                      <w:rPr>
                        <w:rFonts w:eastAsia="Times New Roman"/>
                        <w:color w:val="auto"/>
                        <w:sz w:val="18"/>
                      </w:rPr>
                      <w:t>A</w:t>
                    </w:r>
                    <w:r w:rsidRPr="00AD773C">
                      <w:rPr>
                        <w:rFonts w:eastAsia="Times New Roman"/>
                        <w:color w:val="auto"/>
                        <w:sz w:val="18"/>
                      </w:rPr>
                      <w:t xml:space="preserve">kcijski plan energetski održivog razvitka </w:t>
                    </w:r>
                  </w:p>
                  <w:p w14:paraId="2A66F29B" w14:textId="77777777" w:rsidR="005648B7" w:rsidRPr="00AD773C" w:rsidRDefault="005648B7" w:rsidP="005648B7">
                    <w:pPr>
                      <w:pStyle w:val="HeaderRight"/>
                      <w:jc w:val="both"/>
                      <w:rPr>
                        <w:color w:val="auto"/>
                        <w:sz w:val="18"/>
                      </w:rPr>
                    </w:pPr>
                    <w:r w:rsidRPr="00AD773C">
                      <w:rPr>
                        <w:rFonts w:eastAsia="Times New Roman"/>
                        <w:color w:val="auto"/>
                        <w:sz w:val="18"/>
                      </w:rPr>
                      <w:t>i prilagodbe klimatskim promjenama Grada Zagreba</w:t>
                    </w:r>
                    <w:r>
                      <w:rPr>
                        <w:rFonts w:eastAsia="Times New Roman"/>
                        <w:color w:val="auto"/>
                        <w:sz w:val="18"/>
                      </w:rPr>
                      <w:t xml:space="preserve"> - SECAP</w:t>
                    </w:r>
                  </w:p>
                  <w:p w14:paraId="4A75FC93" w14:textId="77777777" w:rsidR="005648B7" w:rsidRDefault="005648B7" w:rsidP="005648B7"/>
                </w:txbxContent>
              </v:textbox>
            </v:shape>
          </w:pict>
        </mc:Fallback>
      </mc:AlternateContent>
    </w:r>
    <w:r w:rsidR="005648B7">
      <w:tab/>
    </w:r>
    <w:r w:rsidR="005648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B5B"/>
    <w:multiLevelType w:val="hybridMultilevel"/>
    <w:tmpl w:val="76CE1B6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2B78"/>
    <w:multiLevelType w:val="hybridMultilevel"/>
    <w:tmpl w:val="9740E464"/>
    <w:lvl w:ilvl="0" w:tplc="E5F0E750">
      <w:start w:val="1"/>
      <w:numFmt w:val="ordinal"/>
      <w:pStyle w:val="Subtitle"/>
      <w:lvlText w:val="1.%1"/>
      <w:lvlJc w:val="center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4207"/>
    <w:multiLevelType w:val="hybridMultilevel"/>
    <w:tmpl w:val="A8E02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1740"/>
    <w:multiLevelType w:val="hybridMultilevel"/>
    <w:tmpl w:val="37182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ED4"/>
    <w:multiLevelType w:val="hybridMultilevel"/>
    <w:tmpl w:val="23141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25E4"/>
    <w:multiLevelType w:val="hybridMultilevel"/>
    <w:tmpl w:val="90AA4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739"/>
    <w:multiLevelType w:val="hybridMultilevel"/>
    <w:tmpl w:val="EB105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182D"/>
    <w:multiLevelType w:val="hybridMultilevel"/>
    <w:tmpl w:val="5BD46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0D0A"/>
    <w:multiLevelType w:val="hybridMultilevel"/>
    <w:tmpl w:val="D15C6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FF0"/>
    <w:multiLevelType w:val="hybridMultilevel"/>
    <w:tmpl w:val="1F9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FD4"/>
    <w:multiLevelType w:val="hybridMultilevel"/>
    <w:tmpl w:val="7570B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80683"/>
    <w:multiLevelType w:val="hybridMultilevel"/>
    <w:tmpl w:val="17CC6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6CDC"/>
    <w:multiLevelType w:val="multilevel"/>
    <w:tmpl w:val="1228E3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107331"/>
    <w:multiLevelType w:val="hybridMultilevel"/>
    <w:tmpl w:val="C358B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539C"/>
    <w:multiLevelType w:val="hybridMultilevel"/>
    <w:tmpl w:val="A594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D7046"/>
    <w:multiLevelType w:val="hybridMultilevel"/>
    <w:tmpl w:val="F9EA1356"/>
    <w:lvl w:ilvl="0" w:tplc="3E8AA1F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3F21"/>
    <w:multiLevelType w:val="hybridMultilevel"/>
    <w:tmpl w:val="2A86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B07"/>
    <w:multiLevelType w:val="hybridMultilevel"/>
    <w:tmpl w:val="A5AEB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7D8F"/>
    <w:multiLevelType w:val="hybridMultilevel"/>
    <w:tmpl w:val="5F46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1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A"/>
    <w:rsid w:val="00096E32"/>
    <w:rsid w:val="0012670D"/>
    <w:rsid w:val="00260C2F"/>
    <w:rsid w:val="00323E4C"/>
    <w:rsid w:val="0042195C"/>
    <w:rsid w:val="00433F70"/>
    <w:rsid w:val="005648B7"/>
    <w:rsid w:val="00570BE2"/>
    <w:rsid w:val="005A0D4E"/>
    <w:rsid w:val="00600A80"/>
    <w:rsid w:val="00605DD7"/>
    <w:rsid w:val="00612C3A"/>
    <w:rsid w:val="00741F36"/>
    <w:rsid w:val="00784290"/>
    <w:rsid w:val="009F710D"/>
    <w:rsid w:val="00A42CFE"/>
    <w:rsid w:val="00A50F1B"/>
    <w:rsid w:val="00C343AD"/>
    <w:rsid w:val="00E038AC"/>
    <w:rsid w:val="00E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E5FC"/>
  <w15:docId w15:val="{2ECF39AC-25FD-4328-B953-34BB535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12C3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Numbered para,List Paragraph (numbered (a)),References,Bullets,List Paragraph nowy,Numbered List Paragraph,Bullet1,List Paragraph 1,IBL List Paragraph,Body,Normal 2 DC"/>
    <w:basedOn w:val="Normal"/>
    <w:link w:val="ListParagraphChar"/>
    <w:uiPriority w:val="34"/>
    <w:qFormat/>
    <w:rsid w:val="00612C3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Numbered para Char,List Paragraph (numbered (a)) Char,References Char,Bullets Char,List Paragraph nowy Char,Numbered List Paragraph Char"/>
    <w:basedOn w:val="DefaultParagraphFont"/>
    <w:link w:val="ListParagraph"/>
    <w:uiPriority w:val="34"/>
    <w:qFormat/>
    <w:rsid w:val="00612C3A"/>
  </w:style>
  <w:style w:type="character" w:customStyle="1" w:styleId="Heading1Char">
    <w:name w:val="Heading 1 Char"/>
    <w:basedOn w:val="DefaultParagraphFont"/>
    <w:link w:val="Heading1"/>
    <w:uiPriority w:val="99"/>
    <w:rsid w:val="00612C3A"/>
    <w:rPr>
      <w:rFonts w:eastAsiaTheme="majorEastAsia" w:cstheme="majorBidi"/>
      <w:b/>
      <w:bCs/>
      <w:sz w:val="28"/>
      <w:szCs w:val="28"/>
    </w:rPr>
  </w:style>
  <w:style w:type="paragraph" w:customStyle="1" w:styleId="Obinitekst1">
    <w:name w:val="Obični tekst1"/>
    <w:basedOn w:val="Normal"/>
    <w:uiPriority w:val="99"/>
    <w:rsid w:val="00096E3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B7"/>
  </w:style>
  <w:style w:type="paragraph" w:styleId="Footer">
    <w:name w:val="footer"/>
    <w:basedOn w:val="Normal"/>
    <w:link w:val="FooterChar"/>
    <w:uiPriority w:val="99"/>
    <w:unhideWhenUsed/>
    <w:rsid w:val="0056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B7"/>
  </w:style>
  <w:style w:type="paragraph" w:customStyle="1" w:styleId="HeaderRight">
    <w:name w:val="Header Right"/>
    <w:basedOn w:val="Header"/>
    <w:uiPriority w:val="35"/>
    <w:qFormat/>
    <w:rsid w:val="005648B7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Subtitle">
    <w:name w:val="Subtitle"/>
    <w:aliases w:val="2"/>
    <w:basedOn w:val="Normal"/>
    <w:next w:val="Normal"/>
    <w:link w:val="SubtitleChar"/>
    <w:uiPriority w:val="11"/>
    <w:qFormat/>
    <w:rsid w:val="0042195C"/>
    <w:pPr>
      <w:numPr>
        <w:numId w:val="15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aliases w:val="2 Char"/>
    <w:basedOn w:val="DefaultParagraphFont"/>
    <w:link w:val="Subtitle"/>
    <w:uiPriority w:val="11"/>
    <w:rsid w:val="0042195C"/>
    <w:rPr>
      <w:rFonts w:eastAsiaTheme="majorEastAsia" w:cstheme="majorBidi"/>
      <w:b/>
      <w:iCs/>
      <w:sz w:val="28"/>
      <w:szCs w:val="24"/>
    </w:rPr>
  </w:style>
  <w:style w:type="paragraph" w:styleId="NoSpacing">
    <w:name w:val="No Spacing"/>
    <w:qFormat/>
    <w:rsid w:val="004219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E038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ei.hr/upload/2014/07/3_napenu_usvojen_53d8c6525e957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go.hr/userdocsimages/energetika/Nacionalni%20program%20energetske%20u%C4%8Dinkovitosti%202008.%20-%202010.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greb.hr/default.aspx?id=125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et.hr/UserDocsImages/Dokumenti%20i%20obrasci%20za%20preuzimanje/Odredbe%20i%20pravilnici/Odluka%20o%20prijevozu%20putnika%20u%20javnom%20prometu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arodne-novine.nn.hr/clanci/sluzbeni/2014_10_127_2399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A69028DF934B8F4D0A7F57D28E08" ma:contentTypeVersion="2" ma:contentTypeDescription="Create a new document." ma:contentTypeScope="" ma:versionID="5fe4b1c95023fc6106fb987030964a57">
  <xsd:schema xmlns:xsd="http://www.w3.org/2001/XMLSchema" xmlns:xs="http://www.w3.org/2001/XMLSchema" xmlns:p="http://schemas.microsoft.com/office/2006/metadata/properties" xmlns:ns2="c09df97f-82fe-4749-a4c0-afb75fad392b" targetNamespace="http://schemas.microsoft.com/office/2006/metadata/properties" ma:root="true" ma:fieldsID="50cdc0cc7e1682bd0047084845ea6e91" ns2:_="">
    <xsd:import namespace="c09df97f-82fe-4749-a4c0-afb75fad3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f97f-82fe-4749-a4c0-afb75fad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7F15-1469-4F5E-8DD2-9A9EB3B7C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F4955-1371-4EC1-BCBE-55CA16DA8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ED3A9-EE2E-45C4-9114-90AC313E1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df97f-82fe-4749-a4c0-afb75fad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BDF12-C404-4737-9CD4-AE6859B6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2859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Ivan Ivanković</cp:lastModifiedBy>
  <cp:revision>14</cp:revision>
  <dcterms:created xsi:type="dcterms:W3CDTF">2018-05-11T13:22:00Z</dcterms:created>
  <dcterms:modified xsi:type="dcterms:W3CDTF">2019-03-22T14:08:00Z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0x010100C6DAA69028DF934B8F4D0A7F57D28E08</vt:lpwstr>
  </property>
  <property fmtid="{D5CDD505-2E9C-101B-9397-08002B2CF9AE}" pid="3" name="AuthorIds_UIVersion_1536">
    <vt:lpwstr>25</vt:lpwstr>
  </property>
</Properties>
</file>